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ZAG 2018 — Einschreiten gegen unerlaubte Zahlungsdienste und E-Geld-Geschäfte</w:t>
      </w:r>
    </w:p>
    <w:p>
      <w:r>
        <w:rPr>
          <w:color w:val="555555"/>
          <w:sz w:val="18"/>
        </w:rPr>
        <w:t xml:space="preserve">Zahlungsdiensteaufsichtsgesetz</w:t>
      </w:r>
    </w:p>
    <w:p>
      <w:r>
        <w:rPr>
          <w:color w:val="555555"/>
          <w:sz w:val="18"/>
        </w:rPr>
        <w:t xml:space="preserve">Stand: 01.04.2026 (konsolidierte Textfassung, kein amtliches Inkrafttretensdatum)</w:t>
      </w:r>
    </w:p>
    <w:p>
      <w:r>
        <w:t xml:space="preserve">(1) Werden ohne die nach § 10 Absatz 1 erforderliche Erlaubnis oder die nach § 34 Absatz 1 erforderliche Registrierung Zahlungsdienste erbracht (unerlaubte Zahlungsdienste) oder wird ohne die nach § 11 Absatz 1 erforderliche Erlaubnis das E-Geld-Geschäft betrieben (unerlaubtes E-Geld-Geschäft), kann die Bundesanstalt die sofortige Einstellung des Geschäftsbetriebs und die unverzügliche Abwicklung dieser Geschäfte gegenüber dem Unternehmen sowie gegenüber seinen Gesellschaftern und den Mitgliedern seiner Organe anordnen. Sie kann</w:t>
      </w:r>
    </w:p>
    <w:p>
      <w:pPr>
        <w:ind w:left="420"/>
      </w:pPr>
      <w:r>
        <w:t xml:space="preserve">1. für die Abwicklung Weisungen erlassen und</w:t>
      </w:r>
    </w:p>
    <w:p>
      <w:pPr>
        <w:ind w:left="420"/>
      </w:pPr>
      <w:r>
        <w:t xml:space="preserve">2. eine geeignete Person als Abwickler bestellen.</w:t>
      </w:r>
    </w:p>
    <w:p>
      <w:r>
        <w:t xml:space="preserve">Sie kann ihre Maßnahmen nach den Sätzen 1 und 2 bekannt machen; personenbezogene Daten dürfen nur veröffentlicht werden, soweit dies zur Gefahrenabwehr erforderlich ist. Die Befugnisse der Bundesanstalt nach den Sätzen 1 bis 3 bestehen auch gegenüber dem Unternehmen, das in die Anbahnung, den Abschluss oder die Abwicklung dieser Geschäfte einbezogen ist, sowie gegenüber seinen Gesellschaftern und den Mitgliedern seiner Organe.</w:t>
      </w:r>
    </w:p>
    <w:p>
      <w:r>
        <w:t xml:space="preserve">(2) Ordnet die Bundesanstalt die Einstellung des Geschäftsbetriebs oder die Abwicklung der unerlaubten Geschäfte an, so stehen ihr bei juristischen Personen und Personenhandelsgesellschaften auch die in § 38 Absatz 1 und 2 des Kreditwesengesetzes genannten Rechte zu. Absatz 1 Satz 3 gilt entsprechend.</w:t>
      </w:r>
    </w:p>
    <w:p>
      <w:r>
        <w:t xml:space="preserve">(3) Der Abwickler ist zum Antrag auf Eröffnung eines Insolvenzverfahrens über das Vermögen des Unternehmens berechtigt. Die vorangehende Tätigkeit als Abwickler und die Stellung des Insolvenzantrags durch den Abwickler stellen keine die Unabhängigkeit des Insolvenzverwalters ausschließende Vorbefassung dar. Soll der Abwickler nicht als Insolvenzverwalter bestellt werden, hat das zuständige Insolvenzgericht der Bundesanstalt Gelegenheit zur Stellungnahme zu geben.</w:t>
      </w:r>
    </w:p>
    <w:p>
      <w:r>
        <w:t xml:space="preserve">(4) Der Abwickler erhält von der Bundesanstalt eine angemessene Vergütung und Ersatz seiner Auslagen entsprechend den Regeln über die Vergütung des Insolvenzverwalters. Die gezahlten Beträge sind der Bundesanstalt von dem betroffenen Unternehmen gesondert zu erstatten und auf Verlangen der Bundesanstalt vorzuschießen. Die Bundesanstalt kann das betroffene Unternehmen anweisen, den von der Bundesanstalt festgesetzten Betrag im Namen der Bundesanstalt unmittelbar an den Abwickler zu leisten, wenn dadurch keine Beeinflussung der Unabhängigkeit des Abwicklers zu besorgen ist.</w:t>
      </w:r>
    </w:p>
    <w:p>
      <w:r>
        <w:rPr>
          <w:color w:val="555555"/>
          <w:sz w:val="17"/>
        </w:rPr>
        <w:t xml:space="preserve">Zitiervorschlag: § 7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