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ZAG 2018 — Mitteilung in Strafsachen</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Das Gericht, die Strafverfolgungs- oder die Strafvollstreckungsbehörde hat in Strafverfahren gegen Inhaber oder Geschäftsleiter von Instituten sowie gegen Inhaber bedeutender Beteiligungen an Instituten oder deren gesetzliche Vertreter wegen Verletzung ihrer Berufspflichten oder anderer Straftaten bei oder im Zusammenhang mit der Ausübung eines Gewerbes oder dem Betrieb einer sonstigen wirtschaftlichen Unternehmung, im Fall der Erhebung der öffentlichen Klage der Bundesanstalt</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das Verfahren abschließende Entscheidung mit Begründung</w:t>
      </w:r>
    </w:p>
    <w:p>
      <w:r>
        <w:t xml:space="preserve">zu übermitteln. Ist gegen die Entscheidung ein Rechtsbehelf eingelegt worden, ist die Entscheidung unter Hinweis auf den eingelegten Rechtsbehelf zu übermitteln. § 60a Absatz 1a bis 3 des Kreditwesengesetzes gilt entsprechend.</w:t>
      </w:r>
    </w:p>
    <w:p>
      <w:r>
        <w:rPr>
          <w:color w:val="555555"/>
          <w:sz w:val="17"/>
        </w:rPr>
        <w:t xml:space="preserve">Zitiervorschlag: § 65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