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ZAG 2018 — Verschwiegenheitspflicht</w:t>
      </w:r>
    </w:p>
    <w:p>
      <w:r>
        <w:rPr>
          <w:color w:val="555555"/>
          <w:sz w:val="18"/>
        </w:rPr>
        <w:t xml:space="preserve">Zahlungsdiensteaufsichtsgesetz</w:t>
      </w:r>
    </w:p>
    <w:p>
      <w:r>
        <w:rPr>
          <w:color w:val="555555"/>
          <w:sz w:val="18"/>
        </w:rPr>
        <w:t xml:space="preserve">Stand: 25.06.2023 (konsolidierte Textfassung, kein amtliches Inkrafttretensdatum)</w:t>
      </w:r>
    </w:p>
    <w:p>
      <w:r>
        <w:t xml:space="preserve">Die Bediensteten der Bundesanstalt und der Deutschen Bundesbank, die nach diesem Gesetz bestellten Abwickler, die nach § 20 Absatz 2 in Verbindung mit § 45c des Kreditwesengesetzes bestellten Sonderbeauftragten, die gerichtlich bestellten Treuhänder nach § 14 Absatz 1 Satz 2 in Verbindung mit § 2c Absatz 2 Satz 2 des Kreditwesengesetzes und die nach § 4 Absatz 3 des Finanzdienstleistungsaufsichtsgesetzes beauftragten Personen dürfen die ihnen bei ihrer Tätigkeit bekannt gewordenen Tatsachen, deren Geheimhaltung im Interesse des Instituts, Zahlungsdienstleisters oder E-Geld-Emittenten, der zuständigen Behörden oder eines Dritten liegt, insbesondere Geschäfts- und Betriebsgeheimnisse, nicht unbefugt offenbaren oder verwerten, auch wenn sie nicht mehr im Dienst sind oder ihre Tätigkeit beendet ist. Diese Verschwiegenheitspflicht besteht auch, sofern ihnen Tatsachen im Rahmen der Anbahnung einer Beauftragung oder Bestellung anvertraut werden. § 9 des Kreditwesengesetzes gilt entsprechend.</w:t>
      </w:r>
    </w:p>
    <w:p>
      <w:r>
        <w:rPr>
          <w:color w:val="555555"/>
          <w:sz w:val="17"/>
        </w:rPr>
        <w:t xml:space="preserve">Zitiervorschlag: § 6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