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58 ZAG 2018 — Aufgaben der Bundesanstalt bei Kartenzahlverfahren, Ausnahmen für neue Zahlverfahren im Massenzahlungsverkehr; Verordnungsermächtigung</w:t>
      </w:r>
    </w:p>
    <w:p>
      <w:r>
        <w:rPr>
          <w:color w:val="555555"/>
          <w:sz w:val="18"/>
        </w:rPr>
        <w:t xml:space="preserve">Zahlungsdiensteaufsichtsgesetz</w:t>
      </w:r>
    </w:p>
    <w:p>
      <w:r>
        <w:rPr>
          <w:color w:val="555555"/>
          <w:sz w:val="18"/>
        </w:rPr>
        <w:t xml:space="preserve">Stand: 16.12.2023 (konsolidierte Textfassung, kein amtliches Inkrafttretensdatum)</w:t>
      </w:r>
    </w:p>
    <w:p>
      <w:r>
        <w:t xml:space="preserve">(1) Die Bundesanstalt überwacht die Einhaltung der Pflichten der Betreiber von Kartenzahlverfahren nach der Verordnung (EU) 2015/751; sie kann gegenüber den Betreibern von Kartenzahlverfahren Anordnungen treffen, die geeignet und erforderlich sind, um Verstöße gegen die Pflichten nach dieser Verordnung zu verhindern oder zu unterbinden.</w:t>
      </w:r>
    </w:p>
    <w:p>
      <w:r>
        <w:t xml:space="preserve">(2) Die Bundesanstalt ist zuständige Behörde nach Artikel 4 Absatz 4 der Verordnung (EU) Nr. 260/2012, an die die Anträge nach Artikel 4 Absatz 4 dieser Verordnung zu stellen sind, wenn der Antragsteller seinen Sitz im Inland hat.</w:t>
      </w:r>
    </w:p>
    <w:p>
      <w:r>
        <w:t xml:space="preserve">(3) Das Bundesministerium der Finanzen wird ermächtigt, durch Rechtsverordnung, die nicht der Zustimmung des Bundesrates bedarf, im Benehmen mit der Deutschen Bundesbank nähere Bestimmungen über Inhalt, Art und Umfang der Angaben, Nachweise und Unterlagen zu treffen, die ein Antrag nach Artikel 4 Absatz 4 der Verordnung (EU) Nr. 260/2012 enthalten muss. Das Bundesministerium der Finanzen kann die Ermächtigung durch Rechtsverordnung auf die Bundesanstalt mit der Maßgabe übertragen, dass die Rechtsverordnung im Einvernehmen mit der Deutschen Bundesbank ergeht. Vor Erlass der Rechtsverordnung sind die Spitzenverbände der Zahlungsdienstleister anzuhören.</w:t>
      </w:r>
    </w:p>
    <w:p>
      <w:r>
        <w:rPr>
          <w:color w:val="555555"/>
          <w:sz w:val="17"/>
        </w:rPr>
        <w:t xml:space="preserve">Zitiervorschlag: § 58 ZAG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https://recht.nulegal.eu/gesetze/ZAG%202018/58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