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57a ZAG 2018 — Voraussetzungen für die Beantragung der Teilnahme an benannten Zahlungssystemen; Verordnungsermächtigung</w:t>
      </w:r>
    </w:p>
    <w:p>
      <w:r>
        <w:rPr>
          <w:color w:val="555555"/>
          <w:sz w:val="18"/>
        </w:rPr>
        <w:t xml:space="preserve">Zahlungsdiensteaufsichtsgesetz</w:t>
      </w:r>
    </w:p>
    <w:p>
      <w:r>
        <w:rPr>
          <w:color w:val="555555"/>
          <w:sz w:val="18"/>
        </w:rPr>
        <w:t xml:space="preserve">Stand: 13.04.2025 (konsolidierte Textfassung, kein amtliches Inkrafttretensdatum)</w:t>
      </w:r>
    </w:p>
    <w:p>
      <w:r>
        <w:t xml:space="preserve">(1) Zur Sicherung der Stabilität und Integrität von Zahlungssystemen verfügt ein Institut, das die Teilnahme an einem in § 1 Absatz 16 des Kreditwesengesetzes bezeichneten Zahlungssystems beantragt und einem solchen System teilnimmt, über Folgendes:</w:t>
      </w:r>
    </w:p>
    <w:p>
      <w:pPr>
        <w:ind w:left="420"/>
      </w:pPr>
      <w:r>
        <w:t xml:space="preserve">1. im Fall der Sicherung nach § 17 Absatz 1 Satz 2 Nummer 1 Buchstabe b erste Variante oder dritte Variante</w:t>
      </w:r>
    </w:p>
    <w:p>
      <w:pPr>
        <w:ind w:left="780"/>
      </w:pPr>
      <w:r>
        <w:t xml:space="preserve">a) eine Beschreibung der Investitionsstrategie, die sicherstellt, dass die ausgewählten Aktiva sicher und liquide und mit einem niedrigen Risiko verbunden sind;</w:t>
      </w:r>
    </w:p>
    <w:p>
      <w:pPr>
        <w:ind w:left="780"/>
      </w:pPr>
      <w:r>
        <w:t xml:space="preserve">b) die Anzahl und Funktionen der Personen, die Zugang zu dem Treuhandkonto haben;</w:t>
      </w:r>
    </w:p>
    <w:p>
      <w:pPr>
        <w:ind w:left="780"/>
      </w:pPr>
      <w:r>
        <w:t xml:space="preserve">c) eine Beschreibung des Verwaltungs- und Kontenabstimmungsprozesses, der sicherstellt, dass die Geldbeträge des Zahlungsdienstnutzers in seinem Interesse gegen Ansprüche anderer Gläubiger des Instituts abgesichert sind, insbesondere im Fall einer Insolvenz;</w:t>
      </w:r>
    </w:p>
    <w:p>
      <w:pPr>
        <w:ind w:left="780"/>
      </w:pPr>
      <w:r>
        <w:t xml:space="preserve">d) eine ausdrückliche Erklärung des Instituts, dass die Anforderungen des § 17 eingehalten werden;</w:t>
      </w:r>
    </w:p>
    <w:p>
      <w:pPr>
        <w:ind w:left="420"/>
      </w:pPr>
      <w:r>
        <w:t xml:space="preserve">2. im Fall der Sicherung nach § 17 Absatz 1 Satz 2 Nummer 2</w:t>
      </w:r>
    </w:p>
    <w:p>
      <w:pPr>
        <w:ind w:left="780"/>
      </w:pPr>
      <w:r>
        <w:t xml:space="preserve">a) eine Bestätigung, dass die Versicherung oder eine vergleichbare Garantie eines Versicherungsunternehmens oder eines Kreditinstituts von einem Unternehmen stammt, das nicht zur selben Gruppe gehört wie das Institut selbst;</w:t>
      </w:r>
    </w:p>
    <w:p>
      <w:pPr>
        <w:ind w:left="780"/>
      </w:pPr>
      <w:r>
        <w:t xml:space="preserve">b) Einzelheiten zum bestehenden Kontenabstimmungsverfahren, um sicherzustellen, dass die Versicherung oder die vergleichbare Garantie ausreichen, um die Sicherungspflichten des Instituts nach § 17 zu jeder Zeit zu erfüllen;</w:t>
      </w:r>
    </w:p>
    <w:p>
      <w:pPr>
        <w:ind w:left="780"/>
      </w:pPr>
      <w:r>
        <w:t xml:space="preserve">c) Dauer und Bedingungen einer Verlängerung der Absicherung;</w:t>
      </w:r>
    </w:p>
    <w:p>
      <w:pPr>
        <w:ind w:left="420"/>
      </w:pPr>
      <w:r>
        <w:t xml:space="preserve">3. eine Beschreibung der Unternehmenssteuerung und der internen Kontrollmechanismen des Antragstellers einschließlich der Verwaltungs-, Risikomanagement- und Rechnungslegungsverfahren, aus der hervorgeht, dass diese Unternehmenssteuerung, Kontrollmechanismen und Verfahren verhältnismäßig, angemessen, zuverlässig und ausreichend sind, insbesondere:</w:t>
      </w:r>
    </w:p>
    <w:p>
      <w:pPr>
        <w:ind w:left="780"/>
      </w:pPr>
      <w:r>
        <w:t xml:space="preserve">a) eine Darstellung der vom Institut ermittelten Risiken, einschließlich der Art der Risiken und der Verfahren, die das Institut zur Bewertung und Vermeidung solcher Risiken eingerichtet hat oder einrichten wird;</w:t>
      </w:r>
    </w:p>
    <w:p>
      <w:pPr>
        <w:ind w:left="780"/>
      </w:pPr>
      <w:r>
        <w:t xml:space="preserve">b) die verschiedenen Verfahren zur Durchführung von regelmäßigen und ständigen Kontrollen, einschließlich Angaben zur Häufigkeit der Kontrollen und zum hierfür zugewiesenen Personal;</w:t>
      </w:r>
    </w:p>
    <w:p>
      <w:pPr>
        <w:ind w:left="780"/>
      </w:pPr>
      <w:r>
        <w:t xml:space="preserve">c) die Rechnungslegungsverfahren, anhand derer das Institut seine Finanzinformationen erfassen und melden wird;</w:t>
      </w:r>
    </w:p>
    <w:p>
      <w:pPr>
        <w:ind w:left="780"/>
      </w:pPr>
      <w:r>
        <w:t xml:space="preserve">d) den Namen sowie einen aktuellen Lebenslauf der Person oder der Personen, die für die internen Kontrollfunktionen, einschließlich der regelmäßigen und ständigen Kontrolle sowie der Kontrolle der Einhaltung, verantwortlich ist beziehungsweise sind;</w:t>
      </w:r>
    </w:p>
    <w:p>
      <w:pPr>
        <w:ind w:left="780"/>
      </w:pPr>
      <w:r>
        <w:t xml:space="preserve">e) die Namen von Prüfern, die keine Abschlussprüfer im Sinne von Artikel 2 Nummer 2 der Richtlinie 2006/43/EG des Europäischen Parlaments und des Rates vom 17. Mai 2006 über Abschlussprüfungen von Jahresabschlüssen und konsolidierten Abschlüssen, zur Änderung der Richtlinien 78/660/EWG und 83/349/EWG des Rates und zur Aufhebung der Richtlinie 84/253/EWG des Rates vom 17. Mai 2006 (ABl. L 157 vom 9.6.2006, S. 87), die zuletzt durch die Richtlinie (EU) 2023/2864 (ABl. L, 2023/2864, 20.12.2023) geändert worden ist, sind;</w:t>
      </w:r>
    </w:p>
    <w:p>
      <w:pPr>
        <w:ind w:left="780"/>
      </w:pPr>
      <w:r>
        <w:t xml:space="preserve">f) eine Beschreibung dessen, wie ausgelagerte Aufgaben überwacht und kontrolliert werden, damit die Qualität der internen Kontrollen des Zahlungsinstituts oder des E-Geld-Instituts nicht beeinträchtigt wird;</w:t>
      </w:r>
    </w:p>
    <w:p>
      <w:pPr>
        <w:ind w:left="780"/>
      </w:pPr>
      <w:r>
        <w:t xml:space="preserve">g) eine Beschreibung dessen, wie alle Agenten, E-Geld-Agenten und Zweigniederlassungen im Rahmen der internen Kontrollen des Zahlungsinstituts oder des E-Geld-Instituts überwacht und kontrolliert werden;</w:t>
      </w:r>
    </w:p>
    <w:p>
      <w:pPr>
        <w:ind w:left="780"/>
      </w:pPr>
      <w:r>
        <w:t xml:space="preserve">h) handelt es sich bei dem antragstellenden Institut um eine Tochtergesellschaft eines regulierten Unternehmens in einem anderen EU-Mitgliedstaat, eine Beschreibung der Steuerung der Unternehmensgruppe;</w:t>
      </w:r>
    </w:p>
    <w:p>
      <w:pPr>
        <w:ind w:left="420"/>
      </w:pPr>
      <w:r>
        <w:t xml:space="preserve">4. einen an die Größe und das Geschäftsmodell des Instituts angepassten Abwicklungsplan und</w:t>
      </w:r>
    </w:p>
    <w:p>
      <w:pPr>
        <w:ind w:left="420"/>
      </w:pPr>
      <w:r>
        <w:t xml:space="preserve">5. eine Beschreibung der vom Institut im Fall der Beendigung seiner Zahlungsdienste zu ergreifenden Risikominderungsmaßnahmen, die die Ausführung noch ausstehender Zahlungsvorgänge und die Beendigung bestehender Verträge gewährleisten würden.</w:t>
      </w:r>
    </w:p>
    <w:p>
      <w:r>
        <w:t xml:space="preserve">§ 10 Absatz 5 gilt entsprechend.</w:t>
      </w:r>
    </w:p>
    <w:p>
      <w:r>
        <w:t xml:space="preserve">(2) Auf Anfrage des Instituts teilt die Bundesanstalt dem Institut binnen drei Monaten nach Eingang der Unterlagen nach Absatz 1 oder bei Unvollständigkeit der Unterlagen binnen drei Monaten nach Übermittlung aller erforderlichen Unterlagen ihre Feststellung über das Vorliegen der Voraussetzungen für eine Beantragung der Teilnahme nach Absatz 1 Satz 1 mit.</w:t>
      </w:r>
    </w:p>
    <w:p>
      <w:r>
        <w:t xml:space="preserve">(3) Das Bundesministerium der Finanzen wird ermächtigt, durch Rechtsverordnung, die nicht der Zustimmung des Bundesrates bedarf, im Benehmen mit der Deutschen Bundesbank nähere Bestimmungen über Art, Umfang und Form der nach dieser Vorschrift vorgesehenen Unterlagen zu erlassen. Das Bundesministerium der Finanzen kann diese Ermächtigung durch Rechtsverordnung auf die Bundesanstalt mit der Maßgabe übertragen, dass die Rechtsverordnung im Einvernehmen mit der Deutschen Bundesbank ergeht. Vor Erlass der Rechtsverordnung sind die Spitzenverbände der Institute anzuhören.</w:t>
      </w:r>
    </w:p>
    <w:p>
      <w:r>
        <w:rPr>
          <w:color w:val="555555"/>
          <w:sz w:val="17"/>
        </w:rPr>
        <w:t xml:space="preserve">Zitiervorschlag: § 57a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https://recht.nulegal.eu/gesetze/ZAG%202018/57a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57a ZAG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