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57 ZAG 2018 — Zugang zu Zahlungssystemen</w:t>
      </w:r>
    </w:p>
    <w:p>
      <w:r>
        <w:rPr>
          <w:color w:val="555555"/>
          <w:sz w:val="18"/>
        </w:rPr>
        <w:t xml:space="preserve">Zahlungsdiensteaufsichtsgesetz</w:t>
      </w:r>
    </w:p>
    <w:p>
      <w:r>
        <w:rPr>
          <w:color w:val="555555"/>
          <w:sz w:val="18"/>
        </w:rPr>
        <w:t xml:space="preserve">Stand: 13.04.2025 (konsolidierte Textfassung, kein amtliches Inkrafttretensdatum)</w:t>
      </w:r>
    </w:p>
    <w:p>
      <w:r>
        <w:t xml:space="preserve">(1) Der Betreiber eines Zahlungssystems darf Zahlungsdienstleister, Zahlungsdienstnutzer und gleichartige Zahlungssysteme weder unmittelbar noch mittelbar</w:t>
      </w:r>
    </w:p>
    <w:p>
      <w:pPr>
        <w:ind w:left="420"/>
      </w:pPr>
      <w:r>
        <w:t xml:space="preserve">1. bei dem Zugang zum Zahlungssystem durch restriktive Bedingungen oder mit sonstigen unverhältnismäßigen Mitteln behindern;</w:t>
      </w:r>
    </w:p>
    <w:p>
      <w:pPr>
        <w:ind w:left="420"/>
      </w:pPr>
      <w:r>
        <w:t xml:space="preserve">2. in Bezug auf ihre Rechte und Pflichten als Teilnehmer des Zahlungssystems ohne sachlich gerechtfertigten Grund unterschiedlich behandeln;</w:t>
      </w:r>
    </w:p>
    <w:p>
      <w:pPr>
        <w:ind w:left="420"/>
      </w:pPr>
      <w:r>
        <w:t xml:space="preserve">3. im Hinblick auf den institutionellen Status des Zahlungsdienstleisters beschränken.</w:t>
      </w:r>
    </w:p>
    <w:p>
      <w:r>
        <w:t xml:space="preserve">Der Betreiber eines Zahlungssystems darf objektive Bedingungen für eine Teilnahme an einem Zahlungssystem festlegen, soweit diese für einen wirksamen Schutz der finanziellen und operativen Stabilität des Zahlungssystems und zur Verhinderung der mit der Teilnahme an einem Zahlungssystem verbundenen Risiken erforderlich sind. Zu diesen Risiken gehören insbesondere das operationelle Risiko, das Erfüllungsrisiko und das unternehmerische Risiko. Jeder Zahlungsdienstleister und jedes andere Zahlungssystem hat vor dem Beitritt und während seiner Teilnahme an einem Zahlungssystem gegenüber dem Betreiber und den anderen Teilnehmern des Zahlungssystems auf Anforderung darzulegen, dass seine eigenen Vorkehrungen die objektiven Bedingungen im Sinne des Satzes 2 erfüllen. Der Betreiber hat bei Ablehnung eines Antrags auf Zugang zu dem System oder Ausschluss eines Teilnehmers mit der Bekanntgabe der Maßnahme die Gründe abschließend darzulegen.</w:t>
      </w:r>
    </w:p>
    <w:p>
      <w:r>
        <w:t xml:space="preserve">(2) Wer als Betreiber eines Zahlungssystems gegen die Vorschriften des Absatzes 1 verstößt, ist dem Betroffenen zur Beseitigung und bei Wiederholungsgefahr zur Unterlassung verpflichtet. Wer den Verstoß vorsätzlich oder fahrlässig begeht, ist dem Betroffenen zum Ersatz des daraus entstehenden Schadens verpflichtet; für diese Ansprüche ist der ordentliche Rechtsweg gegeben.</w:t>
      </w:r>
    </w:p>
    <w:p>
      <w:r>
        <w:t xml:space="preserve">(3) Die Absätze 1 und 2 gelten nicht für Zahlungssysteme, die ausschließlich aus einer einzigen Unternehmensgruppe angehörenden Zahlungsdienstleistern bestehen. Gewährt ein Teilnehmer eines in § 1 Absatz 16 des Kreditwesengesetzes bezeichneten Systems einem zugelassenen oder registrierten Zahlungsdienstleister, der kein Teilnehmer des Systems ist, das Recht, über ihn Überweisungsaufträge über das System zu erteilen, hat er auch anderen zugelassenen oder registrierten Zahlungsdienstleistern auf Antrag die gleiche Möglichkeit in objektiver, verhältnismäßiger und nichtdiskriminierender Weise einzuräumen; die Bestimmungen des Absatzes 1 Satz 4 und Absatz 2 gelten für diese Teilnehmer insoweit entsprechend.</w:t>
      </w:r>
    </w:p>
    <w:p>
      <w:r>
        <w:t xml:space="preserve">(4) Die Aufgaben und Zuständigkeiten der Kartellbehörden nach dem Gesetz gegen Wettbewerbsbeschränkungen bleiben unberührt.</w:t>
      </w:r>
    </w:p>
    <w:p>
      <w:r>
        <w:rPr>
          <w:color w:val="555555"/>
          <w:sz w:val="17"/>
        </w:rPr>
        <w:t xml:space="preserve">Zitiervorschlag: § 57 ZAG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https://recht.nulegal.eu/gesetze/ZAG%202018/57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57 ZAG 2018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