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ZAG 2018 — Beherrschung operationeller und sicherheitsrelevanter Risiken</w:t>
      </w:r>
    </w:p>
    <w:p>
      <w:r>
        <w:rPr>
          <w:color w:val="555555"/>
          <w:sz w:val="18"/>
        </w:rPr>
        <w:t xml:space="preserve">Zahlungsdiensteaufsichtsgesetz</w:t>
      </w:r>
    </w:p>
    <w:p>
      <w:r>
        <w:rPr>
          <w:color w:val="555555"/>
          <w:sz w:val="18"/>
        </w:rPr>
        <w:t xml:space="preserve">Stand: 04.01.2025 (konsolidierte Textfassung, kein amtliches Inkrafttretensdatum)</w:t>
      </w:r>
    </w:p>
    <w:p>
      <w:r>
        <w:t xml:space="preserve">(1) Ein Zahlungsdienstleister hat angemessene Risikominderungsmaßnahmen und Kontrollmechanismen zur Beherrschung der operationellen und der sicherheitsrelevanten Risiken im Zusammenhang mit den von ihm erbrachten Zahlungsdiensten einzurichten, aufrechtzuerhalten und anzuwenden. Dies umfasst wirksame Verfahren für die Behandlung von Störungen im Betriebsablauf, auch zur Aufdeckung und Klassifizierung schwerer Betriebs- und Sicherheitsvorfälle. Für Zahlungsdienstleister im Sinne des § 1 Absatz 1 Satz 1 Nummer 1, 2 oder Nummer 3 gelten die Sätze 1 und 2 unbeschadet der Vorschriften in Kapitel II der Verordnung (EU) 2022/2554.</w:t>
      </w:r>
    </w:p>
    <w:p>
      <w:r>
        <w:t xml:space="preserve">(2) Ein Zahlungsdienstleister hat der Bundesanstalt einmal jährlich eine aktuelle und umfassende Bewertung der operationellen und sicherheitsrelevanten Risiken im Zusammenhang mit den von ihm erbrachten Zahlungsdiensten und hinsichtlich der Angemessenheit der Risikominderungsmaßnahmen und Kontrollmechanismen, die er zur Beherrschung dieser Risiken ergriffen hat, zu übermitteln. Die Bundesanstalt kann gegenüber einem Zahlungsdienstleister festlegen, dass die Übermittlung der Bewertung nach Satz 1 in kürzeren Zeitabständen zu erfolgen hat.</w:t>
      </w:r>
    </w:p>
    <w:p>
      <w:r>
        <w:rPr>
          <w:color w:val="555555"/>
          <w:sz w:val="17"/>
        </w:rPr>
        <w:t xml:space="preserve">Zitiervorschlag: § 53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