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ZAG 2018 — Pflichten des Zahlungsauslösedienstleisters</w:t>
      </w:r>
    </w:p>
    <w:p>
      <w:r>
        <w:rPr>
          <w:color w:val="555555"/>
          <w:sz w:val="18"/>
        </w:rPr>
        <w:t xml:space="preserve">Zahlungsdiensteaufsichtsgesetz</w:t>
      </w:r>
    </w:p>
    <w:p>
      <w:r>
        <w:rPr>
          <w:color w:val="555555"/>
          <w:sz w:val="18"/>
        </w:rPr>
        <w:t xml:space="preserve">Stand: 14.09.2019 (konsolidierte Textfassung, kein amtliches Inkrafttretensdatum)</w:t>
      </w:r>
    </w:p>
    <w:p>
      <w:r>
        <w:t xml:space="preserve">(1) Der Zahlungsauslösedienstleister darf den Zahlungsbetrag, den Zahlungsempfänger oder ein anderes Merkmal des Zahlungsvorgangs nicht ändern. Er darf zu keiner Zeit Gelder des Zahlers im Zusammenhang mit der Erbringung des Zahlungsauslösedienstes halten.</w:t>
      </w:r>
    </w:p>
    <w:p>
      <w:r>
        <w:t xml:space="preserve">(2) Ein Zahlungsauslösedienstleister ist verpflichtet, sich gegenüber dem kontoführenden Zahlungsdienstleister des Zahlers jedes Mal, wenn er eine Zahlung auslöst, zu identifizieren. Er muss sicherstellen, dass die personalisierten Sicherheitsmerkmale des Zahlungsdienstnutzers keiner anderen Partei als dem Nutzer und demjenigen, der die personalisierten Sicherheitsmerkmale ausgegeben hat, zugänglich sind.</w:t>
      </w:r>
    </w:p>
    <w:p>
      <w:r>
        <w:t xml:space="preserve">(3) Der Zahlungsauslösedienstleister hat mit dem kontoführenden Zahlungsdienstleister, dem Zahler und dem Zahlungsempfänger auf sichere Weise zu kommunizieren. Soweit die Übermittlung der personalisierten Sicherheitsmerkmale des Zahlers erforderlich ist, darf dies nur über sichere und effiziente Kanäle geschehen.</w:t>
      </w:r>
    </w:p>
    <w:p>
      <w:r>
        <w:t xml:space="preserve">(4) Der Zahlungsauslösedienstleister darf vom Zahler nur die für die Erbringung des Zahlungsauslösedienstes erforderlichen Daten verlangen und keine sensiblen Zahlungsdaten des Zahlers speichern. Er darf Daten nur für die Zwecke des vom Zahler ausdrücklich geforderten Zahlungsauslösedienstes speichern, verwenden oder darauf zugreifen. Alle anderen Informationen, die er über den Zahler bei der Bereitstellung von Zahlungsauslösediensten erlangt hat, darf er nur dem Zahlungsempfänger mitteilen; dies setzt die ausdrückliche Zustimmung des Zahlers voraus.</w:t>
      </w:r>
    </w:p>
    <w:p>
      <w:r>
        <w:t xml:space="preserve">(5) Sobald der Zahlungsauftrag ausgelöst worden ist, hat der Zahlungsauslösedienstleister dem kontoführenden Zahlungsdienstleister des Zahlers die Referenzangaben des Zahlungsvorgangs zugänglich zu machen.</w:t>
      </w:r>
    </w:p>
    <w:p>
      <w:r>
        <w:t xml:space="preserve">(6) Näheres regelt der delegierte Rechtsakt nach Artikel 98 der Richtlinie (EU) 2015/2366.</w:t>
      </w:r>
    </w:p>
    <w:p>
      <w:r>
        <w:rPr>
          <w:color w:val="555555"/>
          <w:sz w:val="17"/>
        </w:rPr>
        <w:t xml:space="preserve">Zitiervorschlag: § 49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