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ZAG 2018 — Pflichten des kontoführenden Zahlungsdienstleisters bei Zahlungsauslösediensten</w:t>
      </w:r>
    </w:p>
    <w:p>
      <w:r>
        <w:rPr>
          <w:color w:val="555555"/>
          <w:sz w:val="18"/>
        </w:rPr>
        <w:t xml:space="preserve">Zahlungsdiensteaufsichtsgesetz</w:t>
      </w:r>
    </w:p>
    <w:p>
      <w:r>
        <w:rPr>
          <w:color w:val="555555"/>
          <w:sz w:val="18"/>
        </w:rPr>
        <w:t xml:space="preserve">Stand: 14.09.2019 (konsolidierte Textfassung, kein amtliches Inkrafttretensdatum)</w:t>
      </w:r>
    </w:p>
    <w:p>
      <w:r>
        <w:t xml:space="preserve">(1) Erteilt der Zahler seine ausdrückliche Zustimmung zur Ausführung einer Zahlung, so ist der kontoführende Zahlungsdienstleister verpflichtet,</w:t>
      </w:r>
    </w:p>
    <w:p>
      <w:pPr>
        <w:ind w:left="420"/>
      </w:pPr>
      <w:r>
        <w:t xml:space="preserve">1. mit dem Zahlungsauslösedienstleister auf sichere Weise zu kommunizieren,</w:t>
      </w:r>
    </w:p>
    <w:p>
      <w:pPr>
        <w:ind w:left="420"/>
      </w:pPr>
      <w:r>
        <w:t xml:space="preserve">2. unmittelbar nach Eingang des Zahlungsauftrags über einen Zahlungsauslösedienstleister diesem alle Informationen über die Auslösung des Zahlungsvorgangs und alle dem kontoführenden Zahlungsdienstleister zugänglichen Informationen hinsichtlich der Ausführung des Zahlungsvorgangs mitzuteilen oder zugänglich zu machen und</w:t>
      </w:r>
    </w:p>
    <w:p>
      <w:pPr>
        <w:ind w:left="420"/>
      </w:pPr>
      <w:r>
        <w:t xml:space="preserve">3. Zahlungsaufträge, die über einen Zahlungsauslösedienstleister übermittelt werden, insbesondere in Bezug auf zeitliche Abwicklung, Prioritäten oder Entgelte so zu behandeln wie Zahlungsaufträge, die der Zahler unmittelbar übermittelt, es sei denn, es bestehen objektive Gründe für eine abweichende Behandlung.</w:t>
      </w:r>
    </w:p>
    <w:p>
      <w:r>
        <w:t xml:space="preserve">(2) Das Erbringen von Zahlungsauslösediensten ist nicht davon abhängig, ob der Zahlungsauslösedienstleister und der kontoführende Zahlungsdienstleister zu diesem Zweck einen Vertrag abgeschlossen haben.</w:t>
      </w:r>
    </w:p>
    <w:p>
      <w:r>
        <w:t xml:space="preserve">(3) Näheres regelt der delegierte Rechtsakt nach Artikel 98 der Richtlinie (EU) 2015/2366.</w:t>
      </w:r>
    </w:p>
    <w:p>
      <w:r>
        <w:rPr>
          <w:color w:val="555555"/>
          <w:sz w:val="17"/>
        </w:rPr>
        <w:t xml:space="preserve">Zitiervorschlag: § 48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