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ZAG 2018 — Ausnahme für E-Geld-Instrumente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14.09.2019 (konsolidierte Textfassung, kein amtliches Inkrafttretensdatum)</w:t>
      </w:r>
    </w:p>
    <w:p>
      <w:r>
        <w:t xml:space="preserve">Die §§ 45 und 46 gelten nicht für Zahlungsvorgänge, die durch kartengebundene Zahlungsinstrumente ausgelöst werden, auf denen E-Geld gespeichert ist.</w:t>
      </w:r>
    </w:p>
    <w:p>
      <w:r>
        <w:rPr>
          <w:color w:val="555555"/>
          <w:sz w:val="17"/>
        </w:rPr>
        <w:t xml:space="preserve">Zitiervorschlag: § 47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