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ZAG 2018 — Zahlungsinstituts-Register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führt auf ihrer Internetseite ein Zahlungsinstituts-Register, in das sie einträgt:</w:t>
      </w:r>
    </w:p>
    <w:p>
      <w:pPr>
        <w:ind w:left="420"/>
      </w:pPr>
      <w:r>
        <w:t xml:space="preserve">1. jedes inländische Zahlungsinstitut, dem sie eine Erlaubnis nach § 10 Absatz 1 erteilt hat, mit dem Datum der Erteilung und dem Umfang der Erlaubnis und gegebenenfalls dem Datum des Erlöschens oder der Aufhebung der Erlaubnis;</w:t>
      </w:r>
    </w:p>
    <w:p>
      <w:pPr>
        <w:ind w:left="420"/>
      </w:pPr>
      <w:r>
        <w:t xml:space="preserve">2. jeden inländischen Kontoinformationsdienstleister, dem sie die Registrierung nach § 34 bestätigt hat, mit dem Datum der Aufnahme in das Zahlungsinstituts-Register und gegebenenfalls dem Datum der Löschung aus dem Zahlungsinstituts-Register;</w:t>
      </w:r>
    </w:p>
    <w:p>
      <w:pPr>
        <w:ind w:left="420"/>
      </w:pPr>
      <w:r>
        <w:t xml:space="preserve">3. die von inländischen Zahlungsinstituten errichteten Zweigniederlassungen unter Angabe des Staates, in dem die Zweigniederlassung errichtet ist, des Umfangs sowie des Zeitpunkts der Aufnahme der Geschäftstätigkeit;</w:t>
      </w:r>
    </w:p>
    <w:p>
      <w:pPr>
        <w:ind w:left="420"/>
      </w:pPr>
      <w:r>
        <w:t xml:space="preserve">4. die Agenten, die für ein Zahlungsinstitut nach § 25 tätig sind sowie das Datum des Beginns und des Endes der Tätigkeit des jeweiligen Agenten.</w:t>
      </w:r>
    </w:p>
    <w:p>
      <w:r>
        <w:t xml:space="preserve">Zahlungsinstitute, die lediglich als Kontoinformationsdienstleister registriert sind, sind getrennt von den anderen Zahlungsinstituten auszuweisen. Das Zahlungsinstituts-Register ist laufend und unverzüglich zu aktualisieren.</w:t>
      </w:r>
    </w:p>
    <w:p>
      <w:r>
        <w:t xml:space="preserve">(2) Liegen Tatsachen vor, die darauf schließen lassen, dass die der Bundesanstalt nach § 25 Absatz 1 von einem Institut übermittelten Angaben über einen Agenten nicht zutreffend sind, kann die Bundesanstalt die Eintragung des Agenten in das Zahlungsinstituts-Register ablehnen. Die Bundesanstalt setzt das Institut hiervon unverzüglich in Kenntnis.</w:t>
      </w:r>
    </w:p>
    <w:p>
      <w:r>
        <w:t xml:space="preserve">(3) Die Bundesanstalt übermittelt der Europäischen Bankenaufsichtsbehörde unverzüglich die nach Absatz 1 im Zahlungsinstituts-Register aufgenommenen Angaben in einer im Finanzsektor gebräuchlichen Sprache. Sie unterrichtet die Europäische Bankenaufsichtsbehörde über die Gründe für das Erlöschen oder die Aufhebung einer nach § 10 Absatz 1 oder § 11 Absatz 1 erteilten Erlaubnis oder einer gemäß § 34 Absatz 1 erteilten Registrierung.</w:t>
      </w:r>
    </w:p>
    <w:p>
      <w:r>
        <w:rPr>
          <w:color w:val="555555"/>
          <w:sz w:val="17"/>
        </w:rPr>
        <w:t xml:space="preserve">Zitiervorschlag: § 43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https://recht.nulegal.eu/gesetze/ZAG%202018/43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