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40 ZAG 2018 — Berichtspflicht</w:t>
      </w:r>
    </w:p>
    <w:p>
      <w:r>
        <w:rPr>
          <w:color w:val="555555"/>
          <w:sz w:val="18"/>
        </w:rPr>
        <w:t xml:space="preserve">Zahlungsdiensteaufsichtsgesetz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Ein Institut mit Sitz in einem anderen Mitgliedstaat, das im Inland über Agenten oder Zweigniederlassungen verfügt, hat der Bundesanstalt in regelmäßigen Abständen über die im Inland ausgeübten Tätigkeiten zu berichten.</w:t>
      </w:r>
    </w:p>
    <w:p>
      <w:r>
        <w:rPr>
          <w:color w:val="555555"/>
          <w:sz w:val="17"/>
        </w:rPr>
        <w:t xml:space="preserve">Zitiervorschlag: § 40 ZAG 2018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https://recht.nulegal.eu/gesetze/ZAG%202018/40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