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ZAG 2018 — Absicherung für den Haftungsfall; Verordnungsermächtigung</w:t>
      </w:r>
    </w:p>
    <w:p>
      <w:r>
        <w:rPr>
          <w:color w:val="555555"/>
          <w:sz w:val="18"/>
        </w:rPr>
        <w:t xml:space="preserve">Zahlungsdiensteaufsichtsgesetz</w:t>
      </w:r>
    </w:p>
    <w:p>
      <w:r>
        <w:rPr>
          <w:color w:val="555555"/>
          <w:sz w:val="18"/>
        </w:rPr>
        <w:t xml:space="preserve">Stand: 10.06.2019 (konsolidierte Textfassung, kein amtliches Inkrafttretensdatum)</w:t>
      </w:r>
    </w:p>
    <w:p>
      <w:r>
        <w:t xml:space="preserve">(1) Ein Institut, das Kontoinformationsdienste erbringt, ist verpflichtet, eine Berufshaftpflichtversicherung oder eine andere gleichwertige Garantie abzuschließen und während der Gültigkeitsdauer seiner Registrierung aufrechtzuerhalten. Die Berufshaftpflichtversicherung oder die andere gleichwertige Garantie hat sich auf die Gebiete, in denen der Kontoinformationsdienstleister seine Dienste anbietet, zu erstrecken und muss die sich für den Kontoinformationsdienstleister ergebende Haftung gegenüber dem kontoführenden Zahlungsdienstleister und dem Zahlungsdienstnutzer für einen nicht autorisierten oder betrügerischen Zugang zu Zahlungskontoinformationen und deren nicht autorisierte oder betrügerische Nutzung abdecken.</w:t>
      </w:r>
    </w:p>
    <w:p>
      <w:r>
        <w:t xml:space="preserve">(2) Die Berufshaftpflichtversicherung muss bei einem im Inland zum Geschäftsbetrieb befugten Versicherungsunternehmen genommen werden; § 16 Absatz 2 Satz 2 gilt entsprechend.</w:t>
      </w:r>
    </w:p>
    <w:p>
      <w:r>
        <w:t xml:space="preserve">(3) § 16 Absatz 3 und 4 sowie § 17 Absatz 3 gelten entsprechend.</w:t>
      </w:r>
    </w:p>
    <w:p>
      <w:r>
        <w:t xml:space="preserve">(4) Das Bundesministerium der Finanzen wird ermächtigt, durch Rechtsverordnung, die nicht der Zustimmung des Bundesrates bedarf, nähere Bestimmungen zu Umfang und Inhalt der erforderlichen Absicherung im Haftungsfall zu treffen. Das Bundesministerium der Finanzen kann die Ermächtigung durch Rechtsverordnung auf die Bundesanstalt übertragen. Vor Erlass der Rechtsverordnung sind die Spitzenverbände der Institute und der Versicherungsunternehmen anzuhören.</w:t>
      </w:r>
    </w:p>
    <w:p>
      <w:r>
        <w:rPr>
          <w:color w:val="555555"/>
          <w:sz w:val="17"/>
        </w:rPr>
        <w:t xml:space="preserve">Zitiervorschlag: § 36 ZAG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https://recht.nulegal.eu/gesetze/ZAG%202018/36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