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ZAG 2018 — Monatsausweise; Verordnungsermächtigung</w:t>
      </w:r>
    </w:p>
    <w:p>
      <w:r>
        <w:rPr>
          <w:color w:val="555555"/>
          <w:sz w:val="18"/>
        </w:rPr>
        <w:t xml:space="preserve">Zahlungsdiensteaufsichtsgesetz</w:t>
      </w:r>
    </w:p>
    <w:p>
      <w:r>
        <w:rPr>
          <w:color w:val="555555"/>
          <w:sz w:val="18"/>
        </w:rPr>
        <w:t xml:space="preserve">Stand: 16.12.2023 (konsolidierte Textfassung, kein amtliches Inkrafttretensdatum)</w:t>
      </w:r>
    </w:p>
    <w:p>
      <w:r>
        <w:t xml:space="preserve">(1) Ein Institut hat unverzüglich nach Ablauf eines jeden Monats der Deutschen Bundesbank einen Monatsausweis einzureichen. Die Deutsche Bundesbank leitet diese Meldungen an die Bundesanstalt mit ihrer Stellungnahme weiter; diese kann auf die Weiterleitung bestimmter Meldungen verzichten.</w:t>
      </w:r>
    </w:p>
    <w:p>
      <w:r>
        <w:t xml:space="preserve">(2) In den Fällen des § 15 Absatz 1 Satz 3 kann die Bundesanstalt festlegen, ob und wie ein Institut unverzüglich nach Ablauf eines jeden Monats der Deutschen Bundesbank einen zusammengefassten Monatsausweis einzureichen hat.</w:t>
      </w:r>
    </w:p>
    <w:p>
      <w:r>
        <w:t xml:space="preserve">(3) Das Bundesministerium der Finanzen wird ermächtigt, durch Rechtsverordnung, die nicht der Zustimmung des Bundesrates bedarf, im Benehmen mit der Deutschen Bundesbank nähere Bestimmungen über Inhalt, Art, Umfang und Zeitpunkt sowie über die zulässigen Datenträger, Übertragungswege und Datenformate der Monatsausweise zu erlassen, insbesondere um Einblick in die Entwicklung der Vermögens- und Ertragslage der Institute zu erhalten, sowie über weitere Angaben, soweit dies zur Erfüllung der Aufgaben der Bundesanstalt erforderlich ist. Das Bundesministerium der Finanzen kann die Ermächtigung durch Rechtsverordnung auf die Bundesanstalt mit der Maßgabe übertragen, dass die Rechtsverordnung im Einvernehmen mit der Deutschen Bundesbank ergeht. Vor Erlass der Rechtsverordnung sind die Spitzenverbände der Institute anzuhören.</w:t>
      </w:r>
    </w:p>
    <w:p>
      <w:r>
        <w:rPr>
          <w:color w:val="555555"/>
          <w:sz w:val="17"/>
        </w:rPr>
        <w:t xml:space="preserve">Zitiervorschlag: § 29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