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28 ZAG 2018 — Anzeigen; Verordnungsermächtigung</w:t>
      </w:r>
    </w:p>
    <w:p>
      <w:r>
        <w:rPr>
          <w:color w:val="555555"/>
          <w:sz w:val="18"/>
        </w:rPr>
        <w:t xml:space="preserve">Zahlungsdiensteaufsichtsgesetz</w:t>
      </w:r>
    </w:p>
    <w:p>
      <w:r>
        <w:rPr>
          <w:color w:val="555555"/>
          <w:sz w:val="18"/>
        </w:rPr>
        <w:t xml:space="preserve">Stand: 14.03.2026 (konsolidierte Textfassung, kein amtliches Inkrafttretensdatum)</w:t>
      </w:r>
    </w:p>
    <w:p>
      <w:r>
        <w:t xml:space="preserve">(1) Ein Institut hat der Bundesanstalt und der Deutschen Bundesbank unverzüglich anzuzeigen:</w:t>
      </w:r>
    </w:p>
    <w:p>
      <w:pPr>
        <w:ind w:left="420"/>
      </w:pPr>
      <w:r>
        <w:t xml:space="preserve">1. die Absicht der Bestellung eines Geschäftsleiters und die Absicht der Ermächtigung einer Person zur Einzelvertretung des Instituts in dessen gesamtem Geschäftsbereich, jeweils unter Angabe der Tatsachen, die für die Beurteilung der Zuverlässigkeit, der fachlichen Eignung, einschließlich der Leitungserfahrung, und der ausreichenden zeitlichen Verfügbarkeit für die Wahrnehmung der jeweiligen Aufgaben wesentlich sind, und des Ergebnisses der Beurteilung dieser Kriterien durch das anzeigende Institut, sowie den Vollzug, die Aufgabe oder die Änderung einer solchen Absicht; neue Tatsachen, die sich auf die ursprüngliche Beurteilung der Zuverlässigkeit, der fachlichen Eignung und der ausreichenden zeitlichen Verfügbarkeit erheblich auswirken, sind ebenfalls unverzüglich nach Kenntniserlangung anzuzeigen;</w:t>
      </w:r>
    </w:p>
    <w:p>
      <w:pPr>
        <w:ind w:left="420"/>
      </w:pPr>
      <w:r>
        <w:t xml:space="preserve">1a. die Bestellung eines Mitglieds und stellvertretender Mitglieder des Verwaltungs- oder Aufsichtsorgans unter Angabe der Tatsachen, die zur Beurteilung ihrer Zuverlässigkeit und Sachkunde für die Wahrnehmung ihrer Aufgaben notwendig sind; neue Tatsachen, die sich auf die ursprüngliche Beurteilung der Zuverlässigkeit, der Sachkunde und der ausreichenden zeitlichen Verfügbarkeit erheblich auswirken, sind ebenfalls unverzüglich nach Kenntniserlangung anzuzeigen;</w:t>
      </w:r>
    </w:p>
    <w:p>
      <w:pPr>
        <w:ind w:left="420"/>
      </w:pPr>
      <w:r>
        <w:t xml:space="preserve">2. das Ausscheiden eines Geschäftsleiters sowie die Entziehung der Befugnis zur Einzelvertretung des Instituts in dessen gesamten Geschäftsbereich;</w:t>
      </w:r>
    </w:p>
    <w:p>
      <w:pPr>
        <w:ind w:left="420"/>
      </w:pPr>
      <w:r>
        <w:t xml:space="preserve">2a. das Ausscheiden eines Mitglieds und stellvertretender Mitglieder des Verwaltungs- oder Aufsichtsorgans;</w:t>
      </w:r>
    </w:p>
    <w:p>
      <w:pPr>
        <w:ind w:left="420"/>
      </w:pPr>
      <w:r>
        <w:t xml:space="preserve">3. die Änderung der Rechtsform, soweit nicht bereits eine neue Erlaubnis nach § 10 Absatz 1 oder § 11 Absatz 1 oder neue Registrierung nach § 34 Absatz 1 erforderlich ist, und die Änderung der Firma;</w:t>
      </w:r>
    </w:p>
    <w:p>
      <w:pPr>
        <w:ind w:left="420"/>
      </w:pPr>
      <w:r>
        <w:t xml:space="preserve">4. den Erwerb oder die Aufgabe einer bedeutenden Beteiligung an dem eigenen Institut, das Erreichen, das Über- oder das Unterschreiten der Beteiligungsschwellen von 20 Prozent, 30 Prozent und 50 Prozent der Stimmrechte oder des Kapitals sowie die Tatsache, dass das Institut Tochterunternehmen eines anderen Unternehmens wird oder nicht mehr ist, sobald das Institut von der bevorstehenden Änderung dieser Beteiligungsverhältnisse Kenntnis erlangt;</w:t>
      </w:r>
    </w:p>
    <w:p>
      <w:pPr>
        <w:ind w:left="420"/>
      </w:pPr>
      <w:r>
        <w:t xml:space="preserve">5. einen Verlust in Höhe von 25 Prozent der Eigenmittel;</w:t>
      </w:r>
    </w:p>
    <w:p>
      <w:pPr>
        <w:ind w:left="420"/>
      </w:pPr>
      <w:r>
        <w:t xml:space="preserve">6. die Verlegung der Niederlassung oder des Sitzes;</w:t>
      </w:r>
    </w:p>
    <w:p>
      <w:pPr>
        <w:ind w:left="420"/>
      </w:pPr>
      <w:r>
        <w:t xml:space="preserve">7. die Einstellung des Geschäftsbetriebs;</w:t>
      </w:r>
    </w:p>
    <w:p>
      <w:pPr>
        <w:ind w:left="420"/>
      </w:pPr>
      <w:r>
        <w:t xml:space="preserve">8. das Entstehen, die Änderung oder die Beendigung einer engen Verbindung im Sinne des Artikels 4 Absatz 1 Nummer 38 der Verordnung (EU) Nr. 575/2013 zu einer anderen natürlichen Person oder einem anderen Unternehmen;</w:t>
      </w:r>
    </w:p>
    <w:p>
      <w:pPr>
        <w:ind w:left="420"/>
      </w:pPr>
      <w:r>
        <w:t xml:space="preserve">9. die Absicht, sich mit einem anderen Institut im Sinne dieses Gesetzes, einem Institut im Sinne des § 1 Absatz 1b des Kreditwesengesetzes, einem Wertpapierinstitut im Sinne des § 2 Absatz 1 des Wertpapierinstitutsgesetzes oder einem Institut im Sinne des § 2 Absatz 4 des Kryptomärkteaufsichtsgesetzes zu vereinigen;</w:t>
      </w:r>
    </w:p>
    <w:p>
      <w:pPr>
        <w:ind w:left="420"/>
      </w:pPr>
      <w:r>
        <w:t xml:space="preserve">10. die Absicht einer Auslagerung, den Vollzug einer Auslagerung sowie wesentliche Änderungen und schwerwiegende Vorfälle im Rahmen von bestehenden wesentlichen Auslagerungen, die einen wesentlichen Einfluss auf die Geschäftstätigkeit des Instituts haben können.</w:t>
      </w:r>
    </w:p>
    <w:p>
      <w:r>
        <w:t xml:space="preserve">(2) Ein Institut hat der Bundesanstalt und der Deutschen Bundesbank im Voraus jede wesentliche Änderung der zur Sicherung von Geldbeträgen nach § 17 getroffenen Maßnahmen anzuzeigen. Hat ein Institut eine Absicherung im Haftungsfall gemäß § 16 oder § 36 aufrechtzuerhalten, so hat es der Bundesanstalt und der Deutschen Bundesbank im Voraus jede wesentliche Änderung der Absicherung anzuzeigen.</w:t>
      </w:r>
    </w:p>
    <w:p>
      <w:r>
        <w:t xml:space="preserve">(3) Geschäftsleiter, die für die Geschäftsleitung des Instituts verantwortlichen Personen und soweit es sich um Institute handelt, die neben der Erbringung von Zahlungsdiensten und der Ausgabe von E-Geld anderen Geschäftsaktivitäten nachgehen, die Personen, die für die Führung der Zahlungsdienstgeschäfte und des E-Geld-Geschäfts des Instituts verantwortlich sind, haben der Bundesanstalt und der Deutschen Bundesbank unverzüglich anzuzeigen:</w:t>
      </w:r>
    </w:p>
    <w:p>
      <w:pPr>
        <w:ind w:left="420"/>
      </w:pPr>
      <w:r>
        <w:t xml:space="preserve">1. die Aufnahme und die Beendigung einer Tätigkeit als Geschäftsleiter oder als Aufsichtsrats- oder Verwaltungsratsmitglied eines anderen Unternehmens und</w:t>
      </w:r>
    </w:p>
    <w:p>
      <w:pPr>
        <w:ind w:left="420"/>
      </w:pPr>
      <w:r>
        <w:t xml:space="preserve">2. die Übernahme und die Aufgabe einer unmittelbaren Beteiligung an einem Unternehmen sowie Veränderungen in der Höhe der Beteiligung.</w:t>
      </w:r>
    </w:p>
    <w:p>
      <w:r>
        <w:t xml:space="preserve">(4) Das Bundesministerium der Finanzen wird ermächtigt, durch Rechtsverordnung, die nicht der Zustimmung des Bundesrates bedarf, im Benehmen mit der Deutschen Bundesbank nähere Bestimmungen über Art, Umfang, Zeitpunkt und Form der nach diesem Gesetz vorgesehenen Anzeigen und Vorlagen von Unterlagen, über die zulässigen Datenträger, Übertragungswege und Datenformate und über zu verwendende und anzuzeigende Zusatzinformationen zu den Hauptinformationen, etwa besondere Rechtsträgerkennungen sowie Angaben zu deren Aktualität oder Validität zu erlassen und die bestehenden Anzeigepflichten durch die Verpflichtung zur Erstattung von Sammelanzeigen und die Einreichung von Sammelaufstellungen zu ergänzen, soweit dies zur Erfüllung der Aufgaben der Bundesanstalt erforderlich ist, insbesondere um einheitliche Unterlagen zur Beurteilung der erbrachten Zahlungsdienste und des betriebenen E-Geld-Geschäfts zu erhalten. In der Rechtsverordnung können ebenfalls nähere Bestimmungen für die Führung eines öffentlichen Registers durch die Bundesanstalt sowie über die Zugriffsmöglichkeiten auf Seiten dieses Registers und die Zuweisung von Verantwortung für die Richtigkeit und Aktualität der Seiten erlassen werden. Das Bundesministerium der Finanzen kann die Ermächtigung durch Rechtsverordnung auf die Bundesanstalt mit der Maßgabe übertragen, dass die Rechtsverordnung im Einvernehmen mit der Deutschen Bundesbank ergeht. Vor Erlass der Rechtsverordnung sind die Spitzenverbände der Institute anzuhören.</w:t>
      </w:r>
    </w:p>
    <w:p>
      <w:r>
        <w:rPr>
          <w:color w:val="555555"/>
          <w:sz w:val="17"/>
        </w:rPr>
        <w:t xml:space="preserve">Zitiervorschlag: § 28 ZAG 2018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https://recht.nulegal.eu/gesetze/ZAG%202018/28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