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ZAG 2018 — Organisationspflichten</w:t>
      </w:r>
    </w:p>
    <w:p>
      <w:r>
        <w:rPr>
          <w:color w:val="555555"/>
          <w:sz w:val="18"/>
        </w:rPr>
        <w:t xml:space="preserve">Zahlungsdiensteaufsichtsgesetz</w:t>
      </w:r>
    </w:p>
    <w:p>
      <w:r>
        <w:rPr>
          <w:color w:val="555555"/>
          <w:sz w:val="18"/>
        </w:rPr>
        <w:t xml:space="preserve">Stand: 14.03.2026 (konsolidierte Textfassung, kein amtliches Inkrafttretensdatum)</w:t>
      </w:r>
    </w:p>
    <w:p>
      <w:r>
        <w:t xml:space="preserve">(1) Ein Institut muss über eine ordnungsgemäße Geschäftsorganisation verfügen; die Geschäftsleiter sind für die ordnungsgemäße Geschäftsorganisation des Instituts verantwortlich. Eine ordnungsgemäße Geschäftsorganisation umfasst insbesondere:</w:t>
      </w:r>
    </w:p>
    <w:p>
      <w:pPr>
        <w:ind w:left="420"/>
      </w:pPr>
      <w:r>
        <w:t xml:space="preserve">1. angemessene Maßnahmen der Unternehmenssteuerung, Kontrollmechanismen und Verfahren, die gewährleisten, dass das Institut seine Verpflichtungen erfüllt, einschließlich eines angemessenen und wirksamen Risikomanagements, dessen Ausgestaltung von Art, Umfang, Komplexität und Risikogehalt der Geschäftsaktivitäten abhängt und dessen Angemessenheit und Wirksamkeit vom Institut regelmäßig zu überprüfen ist, sowie einer Internen Revision;</w:t>
      </w:r>
    </w:p>
    <w:p>
      <w:pPr>
        <w:ind w:left="420"/>
      </w:pPr>
      <w:r>
        <w:t xml:space="preserve">2. das Führen und Pflegen einer Verlustdatenbank sowie eine vollständige Dokumentation der Geschäftstätigkeit, die eine lückenlose Überwachung durch die Bundesanstalt für ihren Zuständigkeitsbereich gewährleistet;</w:t>
      </w:r>
    </w:p>
    <w:p>
      <w:pPr>
        <w:ind w:left="420"/>
      </w:pPr>
      <w:r>
        <w:t xml:space="preserve">3. ein angemessenes Notfallkonzept für IT-Systeme;</w:t>
      </w:r>
    </w:p>
    <w:p>
      <w:pPr>
        <w:ind w:left="420"/>
      </w:pPr>
      <w:r>
        <w:t xml:space="preserve">4. interne Verfahren und Kontrollsysteme, die die Einhaltung der Verordnung (EU) 2021/1230, der Verordnung (EU) Nr. 260/2012 und der Verordnung (EU) 2015/751 des Europäischen Parlaments und des Rates vom 29. April 2015 über Interbankenentgelte für kartengebundene Zahlungsvorgänge (ABl. L 123 vom 19.5.2015, S. 1) gewährleisten;</w:t>
      </w:r>
    </w:p>
    <w:p>
      <w:pPr>
        <w:ind w:left="420"/>
      </w:pPr>
      <w:r>
        <w:t xml:space="preserve">5. unbeschadet der Pflichten der §§ 4 bis 7 des Geldwäschegesetzes angemessene Maßnahmen, einschließlich Datenverarbeitungssysteme, die die Einhaltung der Anforderungen des Geldwäschegesetzes und der Verordnung (EU) 2023/1113 gewährleisten; soweit dies zur Erfüllung dieser Pflicht erforderlich ist, darf das Institut personenbezogene Daten verarbeiten.</w:t>
      </w:r>
    </w:p>
    <w:p>
      <w:r>
        <w:t xml:space="preserve">(2) Die §§ 6a, 24c, 25i, 25m und 60b des Kreditwesengesetzes sowie § 93 Absatz 7 und 8 in Verbindung mit § 93b der Abgabenordnung gelten für Institute im Sinne dieses Gesetzes entsprechend. § 24c des Kreditwesengesetzes gilt mit der Maßgabe, dass die Bundesanstalt einzelne Daten aus dem Dateisystem nach § 24c Absatz 1 Satz 1 des Kreditwesengesetzes abrufen darf, soweit dies zur Erfüllung ihrer aufsichtsrechtlichen Aufgaben nach diesem Gesetz und dem Geldwäschegesetz, insbesondere im Hinblick auf unerlaubte Zahlungsdienste und unerlaubte E-Geld-Geschäfte erforderlich ist und besondere Eilbedürftigkeit im Einzelfall vorliegt.</w:t>
      </w:r>
    </w:p>
    <w:p>
      <w:r>
        <w:t xml:space="preserve">(3) Die Bundesanstalt kann gegenüber einem Institut im Einzelfall Anordnungen treffen, die geeignet und erforderlich sind, um die Anforderungen an eine ordnungsgemäße Geschäftsorganisation im Sinne des Absatzes 1 zu erfüllen. Die Bundesanstalt kann Kriterien bestimmen, bei deren Vorliegen Institute vom Einsatz von Datenverarbeitungssystemen nach Absatz 1 Satz 2 Nummer 5 absehen können. Satz 1 gilt entsprechend für Auslagerungsunternehmen, soweit ausgelagerte Aktivitäten und Prozesse betroffen sind.</w:t>
      </w:r>
    </w:p>
    <w:p>
      <w:r>
        <w:t xml:space="preserve">(4) Die Bundesanstalt überwacht die Einhaltung der in der Verordnung (EU) 2023/1113 des Europäischen Parlaments und des Rates vom 31. Mai 2023 über die Übermittlung von Angaben bei Geldtransfers und Transfers bestimmter Kryptowerte und zur Änderung der Richtlinie (EU) 2015/849 (ABl. L 150 vom 9.6.2023 S. 1; L, 2023/90032, 17.10.2023), in der Verordnung (EU) 2021/1230 mit Ausnahme der Pflichten nach den Artikeln 4 und 5, in der Verordnung (EU) Nr. 260/2012 mit Ausnahme der Pflichten nach Artikel 5d, und in der Verordnung (EU) 2015/751 enthaltenden Pflichten durch die Institute. Sie kann gegenüber einem Institut und seinen Geschäftsleitern Anordnungen treffen, die geeignet und erforderlich sind, um Verstöße gegen die Pflichten nach den Verordnungen nach Satz 1 zu verhindern oder zu unterbinden.</w:t>
      </w:r>
    </w:p>
    <w:p>
      <w:r>
        <w:rPr>
          <w:color w:val="555555"/>
          <w:sz w:val="17"/>
        </w:rPr>
        <w:t xml:space="preserve">Zitiervorschlag: § 27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