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 ZAG 2018 — Inanspruchnahme von Agenten; Verordnungsermächtigung</w:t>
      </w:r>
    </w:p>
    <w:p>
      <w:r>
        <w:rPr>
          <w:color w:val="555555"/>
          <w:sz w:val="18"/>
        </w:rPr>
        <w:t xml:space="preserve">Zahlungsdiensteaufsichtsgesetz</w:t>
      </w:r>
    </w:p>
    <w:p>
      <w:r>
        <w:rPr>
          <w:color w:val="555555"/>
          <w:sz w:val="18"/>
        </w:rPr>
        <w:t xml:space="preserve">Stand: 16.12.2023 (konsolidierte Textfassung, kein amtliches Inkrafttretensdatum)</w:t>
      </w:r>
    </w:p>
    <w:p>
      <w:r>
        <w:t xml:space="preserve">(1) Beabsichtigt ein Institut, Zahlungsdienste über einen Agenten zu erbringen, hat es der Bundesanstalt und der Deutschen Bundesbank folgende Angaben zu übermitteln:</w:t>
      </w:r>
    </w:p>
    <w:p>
      <w:pPr>
        <w:ind w:left="420"/>
      </w:pPr>
      <w:r>
        <w:t xml:space="preserve">1. Name und Anschrift des Agenten;</w:t>
      </w:r>
    </w:p>
    <w:p>
      <w:pPr>
        <w:ind w:left="420"/>
      </w:pPr>
      <w:r>
        <w:t xml:space="preserve">2. eine Beschreibung der internen Kontrollmechanismen, die der Agent anwendet, um die Anforderungen des Geldwäschegesetzes zu erfüllen; diese ist bei sachlichen Änderungen der zuvor übermittelten Angaben unverzüglich zu aktualisieren;</w:t>
      </w:r>
    </w:p>
    <w:p>
      <w:pPr>
        <w:ind w:left="420"/>
      </w:pPr>
      <w:r>
        <w:t xml:space="preserve">3. die Namen der Geschäftsleiter und der für die Geschäftsleitung verantwortlichen Personen eines Agenten, der zur Erbringung von Zahlungsdiensten eingesetzt werden soll, und im Falle von Agenten, die keine Zahlungsdienstleister sind, den Nachweis, dass sie zuverlässig und fachlich geeignet sind;</w:t>
      </w:r>
    </w:p>
    <w:p>
      <w:pPr>
        <w:ind w:left="420"/>
      </w:pPr>
      <w:r>
        <w:t xml:space="preserve">4. die Zahlungsdienste des Zahlungsinstituts, mit denen der Agent beauftragt ist;</w:t>
      </w:r>
    </w:p>
    <w:p>
      <w:pPr>
        <w:ind w:left="420"/>
      </w:pPr>
      <w:r>
        <w:t xml:space="preserve">5. gegebenenfalls den Identifikationscode oder die Kennnummer des Agenten.</w:t>
      </w:r>
    </w:p>
    <w:p>
      <w:r>
        <w:t xml:space="preserve">Die Bundesanstalt teilt dem Institut binnen zwei Monaten nach vollständiger Übermittlung der Angaben nach Satz 1 mit, ob der Agent in das Zahlungsinstituts-Register eingetragen wird. Der Agent darf erst nach Eintragung in das Zahlungsinstituts-Register mit der Erbringung von Zahlungsdiensten beginnen. Ändern sich Verhältnisse, die nach Satz 1 angezeigt wurden, hat das Institut diese Änderungen der Bundesanstalt und der Deutschen Bundesbank unverzüglich schriftlich oder elektronisch anzuzeigen; die Sätze 2 und 3 gelten entsprechend.</w:t>
      </w:r>
    </w:p>
    <w:p>
      <w:r>
        <w:t xml:space="preserve">(2) Das Institut hat sicherzustellen, dass der Agent zuverlässig und fachlich geeignet ist, bei der Erbringung der Zahlungsdienste die gesetzlichen Vorgaben erfüllt, den Zahlungsdienstnutzer vor oder während der Aufnahme der Geschäftsbeziehung über seinen Status informiert und diesen unverzüglich von der Beendigung dieses Status in Kenntnis setzt. Das Institut hat die erforderlichen Nachweise für die Erfüllung seiner Pflichten nach Satz 1 mindestens fünf Jahre nach dem Ende des Status des Agenten aufzubewahren.</w:t>
      </w:r>
    </w:p>
    <w:p>
      <w:r>
        <w:t xml:space="preserve">(3) Die Bundesanstalt kann einem Institut, das die Auswahl oder Überwachung seiner Agenten nicht ordnungsgemäß durchgeführt hat, untersagen, Agenten im Sinne der Absätze 1 und 2 in das Institut einzubinden. Die Untersagung kann sich auf die Ausführung von Zahlungsdiensten durch einzelne Agenten oder auf die Einbindung von Agenten insgesamt beziehen.</w:t>
      </w:r>
    </w:p>
    <w:p>
      <w:r>
        <w:t xml:space="preserve">(4) Beabsichtigt ein Institut durch Beauftragung eines Agenten in einem anderen Mitgliedstaat oder einem anderen Vertragsstaat des Abkommens über den Europäischen Wirtschaftsraum Zahlungsdienste zu erbringen, so muss es das Verfahren nach § 38 Absatz 1 befolgen.</w:t>
      </w:r>
    </w:p>
    <w:p>
      <w:r>
        <w:t xml:space="preserve">(5) Das Bundesministerium der Finanzen wird ermächtigt, durch Rechtsverordnung, die nicht der Zustimmung des Bundesrates bedarf, im Benehmen mit der Deutschen Bundesbank nähere Bestimmungen über Art, Umfang und Form der Nachweise nach Absatz 2 Satz 2 zu erlassen, soweit dies zur Erfüllung der Aufgaben der Bundesanstalt erforderlich ist. Das Bundesministerium der Finanzen kann die Ermächtigung durch Rechtsverordnung auf die Bundesanstalt mit der Maßgabe übertragen, dass die Rechtsverordnung im Einvernehmen mit der Deutschen Bundesbank ergeht. Vor Erlass der Rechtsverordnung sind die Spitzenverbände der Institute anzuhören.</w:t>
      </w:r>
    </w:p>
    <w:p>
      <w:r>
        <w:rPr>
          <w:color w:val="555555"/>
          <w:sz w:val="17"/>
        </w:rPr>
        <w:t xml:space="preserve">Zitiervorschlag: § 25 ZAG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https://recht.nulegal.eu/gesetze/ZAG%202018/25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 ZAG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