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ZAG 2018 — Besondere Pflichten des Prüfers; Verordnungsermächtigung</w:t>
      </w:r>
    </w:p>
    <w:p>
      <w:r>
        <w:rPr>
          <w:color w:val="555555"/>
          <w:sz w:val="18"/>
        </w:rPr>
        <w:t xml:space="preserve">Zahlungsdiensteaufsichtsgesetz</w:t>
      </w:r>
    </w:p>
    <w:p>
      <w:r>
        <w:rPr>
          <w:color w:val="555555"/>
          <w:sz w:val="18"/>
        </w:rPr>
        <w:t xml:space="preserve">Stand: 14.03.2026 (konsolidierte Textfassung, kein amtliches Inkrafttretensdatum)</w:t>
      </w:r>
    </w:p>
    <w:p>
      <w:r>
        <w:t xml:space="preserve">(1) Als Teil der Prüfung des Jahresabschlusses sowie eines Zwischenabschlusses hat der Prüfer auch die wirtschaftlichen Verhältnisse des Instituts zu prüfen. Bei der Prüfung des Jahresabschlusses hat er insbesondere festzustellen, ob das Institut die Anzeigepflichten nach § 10 Absatz 5, § 11 Absatz 4, § 21 Absatz 4 Satz 1, § 28 Absatz 1, auch in Verbindung mit einer Rechtsverordnung nach § 28 Absatz 4, erfüllt hat. Der Prüfer hat auch zu prüfen, ob das Institut seinen Verpflichtungen</w:t>
      </w:r>
    </w:p>
    <w:p>
      <w:pPr>
        <w:ind w:left="420"/>
      </w:pPr>
      <w:r>
        <w:t xml:space="preserve">1. nach dem Geldwäschegesetz und der Verordnung (EU) 2023/1113 nachgekommen ist,</w:t>
      </w:r>
    </w:p>
    <w:p>
      <w:pPr>
        <w:ind w:left="420"/>
      </w:pPr>
      <w:r>
        <w:t xml:space="preserve">2. nach § 3, nach § 15, auch in Verbindung mit einer Rechtsverordnung nach § 15 Absatz 3, nach den §§ 16 bis 18, 25 bis 30, 36, 45, 46 und 48 bis 55 nachgekommen ist,</w:t>
      </w:r>
    </w:p>
    <w:p>
      <w:pPr>
        <w:ind w:left="420"/>
      </w:pPr>
      <w:r>
        <w:t xml:space="preserve">3. nach der Verordnung (EU) 2021/1230 des Europäischen Parlaments und des Rates vom 14. Juli 2021 über grenzüberschreitende Zahlungen in der Union (ABl. L 274 vom 30.7.2021, S. 20), die durch die Verordnung (EU) 2024/886 (ABl. L, 2024/886, 19.3.2024) geändert worden ist, und der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2024/886 (ABl. L, 2024/886, 19.3.2024) geändert worden ist, nachgekommen ist,</w:t>
      </w:r>
    </w:p>
    <w:p>
      <w:pPr>
        <w:ind w:left="420"/>
      </w:pPr>
      <w:r>
        <w:t xml:space="preserve">4. nach der Verordnung (EU) 2015/751 des Europäischen Parlaments und des Rates vom 29. April 2015 über Interbankenentgelte für kartengebundene Zahlungsvorgänge (ABl. L 123 vom 19.5.2015, S. 1) nachgekommen ist und</w:t>
      </w:r>
    </w:p>
    <w:p>
      <w:pPr>
        <w:ind w:left="420"/>
      </w:pPr>
      <w:r>
        <w:t xml:space="preserve">5. nach den Artikeln 5 bis 14, 16 bis 19, 23 bis 25, 28 bis 30 und 45 Absatz 3 der Verordnung (EU) 2022/2554, auch in Verbindung mit einer Delegierten Verordnung nach den Artikeln 15, 16, 20, 28 oder Artikel 30 der Verordnung (EU) 2022/2554, nachgekommen ist.</w:t>
      </w:r>
    </w:p>
    <w:p>
      <w:r>
        <w:t xml:space="preserve">(2) Der Prüfer hat es unverzüglich der Bundesanstalt und der Deutschen Bundesbank anzuzeigen, wenn ihm bei der Prüfung Tatsachen bekannt werden,</w:t>
      </w:r>
    </w:p>
    <w:p>
      <w:pPr>
        <w:ind w:left="420"/>
      </w:pPr>
      <w:r>
        <w:t xml:space="preserve">1. welche die Einschränkung oder Versagung des Bestätigungsvermerkes rechtfertigen,</w:t>
      </w:r>
    </w:p>
    <w:p>
      <w:pPr>
        <w:ind w:left="420"/>
      </w:pPr>
      <w:r>
        <w:t xml:space="preserve">2. die den Bestand des Instituts gefährden oder seine Entwicklung wesentlich beeinträchtigen können,</w:t>
      </w:r>
    </w:p>
    <w:p>
      <w:pPr>
        <w:ind w:left="420"/>
      </w:pPr>
      <w:r>
        <w:t xml:space="preserve">3. die einen erheblichen Verstoß gegen die Vorschriften über die Zulassungsvoraussetzungen des Instituts oder über die Ausübung einer Tätigkeit nach diesem Gesetz darstellen oder</w:t>
      </w:r>
    </w:p>
    <w:p>
      <w:pPr>
        <w:ind w:left="420"/>
      </w:pPr>
      <w:r>
        <w:t xml:space="preserve">4. die schwerwiegende Verstöße der Geschäftsleiter gegen Gesetz, Satzung oder Gesellschaftsvertrag erkennen lassen.</w:t>
      </w:r>
    </w:p>
    <w:p>
      <w:r>
        <w:t xml:space="preserve">Auf Verlangen der Bundesanstalt oder der Deutschen Bundesbank hat der Prüfer ihnen den Prüfungsbericht zu erläutern und sonstige bei der Prüfung bekannt gewordene Tatsachen mitzuteilen, die gegen eine ordnungsmäßige Durchführung der Geschäfte des Instituts sprechen. Die Anzeige-, Erläuterungs- und Mitteilungspflichten nach den Sätzen 1 und 2 bestehen auch in Bezug auf ein Unternehmen, das mit dem Institut in enger Verbindung steht, sofern dem Prüfer die Tatsachen im Rahmen der Prüfung des Instituts bekannt werden. Der Prüfer haftet nicht für die Richtigkeit von Tatsachen, die er nach diesem Absatz in gutem Glauben anzeigt.</w:t>
      </w:r>
    </w:p>
    <w:p>
      <w:r>
        <w:t xml:space="preserve">(3) Das Bundesministerium der Finanzen wird ermächtigt, durch Rechtsverordnung, die nicht der Zustimmung des Bundesrates bedarf, im Einvernehmen mit dem Bundesministerium der Justiz und für Verbraucherschutz und nach Anhörung der Deutschen Bundesbank nähere Bestimmungen über den Gegenstand der Prüfung, den Zeitpunkt ihrer Durchführung und den Inhalt der Prüfungsberichte sowie die Form ihrer Einreichung zu erlassen, soweit dies zur Erfüllung der Aufgaben der Bundesanstalt erforderlich ist. Insbesondere sollen die Bestimmungen geeignet sein, Missstände, welche die Sicherheit der dem Institut anvertrauten Vermögenswerte gefährden oder die ordnungsmäßige Durchführung der Zahlungsdienste oder das ordnungsgemäße Betreiben des E-Geld-Geschäfts beeinträchtigen können, zu erkennen sowie einheitliche Unterlagen zur Beurteilung der von den Instituten durchgeführten Geschäfte zu erhalten. Das Bundesministerium der Finanzen kann die Ermächtigung durch Rechtsverordnung auf die Bundesanstalt mit der Maßgabe übertragen, dass die Rechtsverordnung im Einvernehmen mit dem Bundesministerium der Justiz ergeht. Vor Erlass der Rechtsverordnung sind die Spitzenverbände der Institute anzuhören.</w:t>
      </w:r>
    </w:p>
    <w:p>
      <w:r>
        <w:t xml:space="preserve">(4) § 29 des Kreditwesengesetzes bleibt unberührt. Unbeschadet der Absätze 1 bis 3 kann die Bundesanstalt gegenüber dem Institut auch Bestimmungen über den Inhalt der Prüfung treffen, die vom Prüfer im Rahmen der Jahresabschlussprüfung zu berücksichtigen sind. Sie kann insbesondere Schwerpunkte für die Prüfungen festlegen.</w:t>
      </w:r>
    </w:p>
    <w:p>
      <w:r>
        <w:rPr>
          <w:color w:val="555555"/>
          <w:sz w:val="17"/>
        </w:rPr>
        <w:t xml:space="preserve">Zitiervorschlag: § 24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ZAG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