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ZAG 2018 — Ausnahmen; Verordnungsermächtigung</w:t>
      </w:r>
    </w:p>
    <w:p>
      <w:r>
        <w:rPr>
          <w:color w:val="555555"/>
          <w:sz w:val="18"/>
        </w:rPr>
        <w:t xml:space="preserve">Zahlungsdiensteaufsichtsgesetz</w:t>
      </w:r>
    </w:p>
    <w:p>
      <w:r>
        <w:rPr>
          <w:color w:val="555555"/>
          <w:sz w:val="18"/>
        </w:rPr>
        <w:t xml:space="preserve">Stand: 13.04.2025 (konsolidierte Textfassung, kein amtliches Inkrafttretensdatum)</w:t>
      </w:r>
    </w:p>
    <w:p>
      <w:r>
        <w:t xml:space="preserve">(1) Als Zahlungsdienste gelten nicht</w:t>
      </w:r>
    </w:p>
    <w:p>
      <w:pPr>
        <w:ind w:left="420"/>
      </w:pPr>
      <w:r>
        <w:t xml:space="preserve">1. Zahlungsvorgänge, die ohne zwischengeschaltete Stellen ausschließlich als unmittelbare Bargeldzahlung vom Zahler an den Zahlungsempfänger erfolgen;</w:t>
      </w:r>
    </w:p>
    <w:p>
      <w:pPr>
        <w:ind w:left="420"/>
      </w:pPr>
      <w:r>
        <w:t xml:space="preserve">2. Zahlungsvorgänge zwischen Zahler und Zahlungsempfänger über einen Zentralregulierer oder Handelsvertreter, der aufgrund einer Vereinbarung befugt ist, den Verkauf oder Kauf von Waren oder Dienstleistungen nur im Namen des Zahlers oder nur im Namen des Zahlungsempfängers auszuhandeln oder abzuschließen;</w:t>
      </w:r>
    </w:p>
    <w:p>
      <w:pPr>
        <w:ind w:left="420"/>
      </w:pPr>
      <w:r>
        <w:t xml:space="preserve">3. der gewerbsmäßige Transport von Banknoten und Münzen einschließlich ihrer Entgegennahme, Bearbeitung und Übergabe;</w:t>
      </w:r>
    </w:p>
    <w:p>
      <w:pPr>
        <w:ind w:left="420"/>
      </w:pPr>
      <w:r>
        <w:t xml:space="preserve">4. Dienste, bei denen der Zahlungsempfänger dem Zahler Bargeld im Rahmen eines Zahlungsvorgangs aushändigt, nachdem ihn der Zahlungsdienstnutzer kurz vor der Ausführung eines Zahlungsvorgangs zum Erwerb von Waren oder Dienstleistungen ausdrücklich hierum gebeten hat;</w:t>
      </w:r>
    </w:p>
    <w:p>
      <w:pPr>
        <w:ind w:left="420"/>
      </w:pPr>
      <w:r>
        <w:t xml:space="preserve">5. Geldwechselgeschäfte, die bar abgewickelt werden;</w:t>
      </w:r>
    </w:p>
    <w:p>
      <w:pPr>
        <w:ind w:left="420"/>
      </w:pPr>
      <w:r>
        <w:t xml:space="preserve">6. Zahlungsvorgänge, denen eines der folgenden Dokumente zugrunde liegt, das auf den Zahlungsdienstleister gezogen ist und die Bereitstellung von Geldern an einen Zahlungsempfänger vorsieht:</w:t>
      </w:r>
    </w:p>
    <w:p>
      <w:pPr>
        <w:ind w:left="780"/>
      </w:pPr>
      <w:r>
        <w:t xml:space="preserve">a) ein Scheck in Papierform im Sinne des Scheckgesetzes oder ein vergleichbarer Scheck in Papierform nach dem Recht eines anderen Mitgliedstaates oder eines anderen Vertragsstaates des Abkommens über den Europäischen Wirtschaftsraum,</w:t>
      </w:r>
    </w:p>
    <w:p>
      <w:pPr>
        <w:ind w:left="780"/>
      </w:pPr>
      <w:r>
        <w:t xml:space="preserve">b) ein Wechsel in Papierform im Sinne des Wechselgesetzes oder ein vergleichbarer Wechsel in Papierform nach dem Recht eines anderen Mitgliedstaates oder eines anderen Vertragsstaates des Abkommens über den Europäischen Wirtschaftsraum,</w:t>
      </w:r>
    </w:p>
    <w:p>
      <w:pPr>
        <w:ind w:left="780"/>
      </w:pPr>
      <w:r>
        <w:t xml:space="preserve">c) ein Gutschein in Papierform,</w:t>
      </w:r>
    </w:p>
    <w:p>
      <w:pPr>
        <w:ind w:left="780"/>
      </w:pPr>
      <w:r>
        <w:t xml:space="preserve">d) ein Reisescheck in Papierform oder</w:t>
      </w:r>
    </w:p>
    <w:p>
      <w:pPr>
        <w:ind w:left="780"/>
      </w:pPr>
      <w:r>
        <w:t xml:space="preserve">e) eine Postanweisung in Papierform im Sinne der Definition des Weltpostvereins;</w:t>
      </w:r>
    </w:p>
    <w:p>
      <w:pPr>
        <w:ind w:left="420"/>
      </w:pPr>
      <w:r>
        <w:t xml:space="preserve">7. Zahlungsvorgänge, die innerhalb eines Zahlungs- oder Wertpapierabwicklungssystems zwischen Zahlungsausgleichsagenten, zentralen Gegenparteien, Clearingstellen oder Zentralbanken und anderen Teilnehmern des Systems und Zahlungsdienstleistern abgewickelt werden;</w:t>
      </w:r>
    </w:p>
    <w:p>
      <w:pPr>
        <w:ind w:left="420"/>
      </w:pPr>
      <w:r>
        <w:t xml:space="preserve">8. Zahlungsvorgänge im Zusammenhang mit der Bedienung von Wertpapieranlagen, die durchgeführt werden von den unter Nummer 7 fallenden Unternehmen oder von</w:t>
      </w:r>
    </w:p>
    <w:p>
      <w:pPr>
        <w:ind w:left="780"/>
      </w:pPr>
      <w:r>
        <w:t xml:space="preserve">a) Kreditinstituten und Finanzdienstleistungsinstituten im Rahmen ihrer Erlaubnis nach dem Kreditwesengesetz,</w:t>
      </w:r>
    </w:p>
    <w:p>
      <w:pPr>
        <w:ind w:left="780"/>
      </w:pPr>
      <w:r>
        <w:t xml:space="preserve">b) Kapitalverwaltungsgesellschaften im Rahmen ihrer Erlaubnis nach dem Kapitalanlagegesetzbuch oder</w:t>
      </w:r>
    </w:p>
    <w:p>
      <w:pPr>
        <w:ind w:left="780"/>
      </w:pPr>
      <w:r>
        <w:t xml:space="preserve">c) Wertpapierinstituten im Rahmen ihrer Erlaubnis nach dem Wertpapierinstitutsgesetz;</w:t>
      </w:r>
    </w:p>
    <w:p>
      <w:pPr>
        <w:ind w:left="420"/>
      </w:pPr>
      <w:r>
        <w:t xml:space="preserve">9. Dienste, die von technischen Dienstleistern erbracht werden, die zwar zur Erbringung der Zahlungsdienste beitragen, jedoch zu keiner Zeit in den Besitz der zu übertragenden Gelder gelangen; hierzu zählen die Verarbeitung und Speicherung von Daten, vertrauensbildende Maßnahmen und Dienste zum Schutz der Privatsphäre, Nachrichten- und Instanzenauthentisierung, Bereitstellung von Informationstechnologie- und Kommunikationsnetzen (IKT-Netzen) sowie Bereitstellung und Wartung der für Zahlungsdienste genutzten Endgeräte und Einrichtungen; jeweils mit Ausnahme von Zahlungsauslösediensten und Kontoinformationsdiensten;</w:t>
      </w:r>
    </w:p>
    <w:p>
      <w:pPr>
        <w:ind w:left="420"/>
      </w:pPr>
      <w:r>
        <w:t xml:space="preserve">10. Dienste, die auf Zahlungsinstrumenten beruhen, die</w:t>
      </w:r>
    </w:p>
    <w:p>
      <w:pPr>
        <w:ind w:left="780"/>
      </w:pPr>
      <w:r>
        <w:t xml:space="preserve">a) für den Erwerb von Waren oder Dienstleistungen in den Geschäftsräumen des Emittenten oder innerhalb eines begrenzten Netzes von Dienstleistern im Rahmen einer Geschäftsvereinbarung mit einem professionellen Emittenten eingesetzt werden können,</w:t>
      </w:r>
    </w:p>
    <w:p>
      <w:pPr>
        <w:ind w:left="780"/>
      </w:pPr>
      <w:r>
        <w:t xml:space="preserve">b) für den Erwerb eines sehr begrenzten Waren- oder Dienstleistungsspektrums eingesetzt werden können, oder</w:t>
      </w:r>
    </w:p>
    <w:p>
      <w:pPr>
        <w:ind w:left="780"/>
      </w:pPr>
      <w:r>
        <w:t xml:space="preserve">c) beschränkt sind auf den Einsatz im Inland und auf Ersuchen eines Unternehmens oder einer öffentlichen Stelle für bestimmte soziale oder steuerliche Zwecke nach Maßgabe öffentlich-rechtlicher Bestimmungen für den Erwerb der darin bestimmten Waren oder Dienstleistungen von Anbietern, die eine gewerbliche Vereinbarung mit dem Emittenten geschlossen haben, bereitgestellt werden;</w:t>
      </w:r>
    </w:p>
    <w:p>
      <w:pPr>
        <w:ind w:left="420"/>
      </w:pPr>
      <w:r>
        <w:t xml:space="preserve">11. Zahlungsvorgänge, die von einem Anbieter elektronischer Kommunikationsnetze oder -dienste zusätzlich zu elektronischen Kommunikationsdiensten für einen Teilnehmer des Netzes oder Dienstes bereitgestellt werden, und die</w:t>
      </w:r>
    </w:p>
    <w:p>
      <w:pPr>
        <w:ind w:left="780"/>
      </w:pPr>
      <w:r>
        <w:t xml:space="preserve">a) im Zusammenhang stehen mit dem Erwerb von digitalen Inhalten und Sprachdiensten, ungeachtet des für den Erwerb oder Konsum des digitalen Inhalts verwendeten Geräts, und die auf der entsprechenden Rechnung abgerechnet werden, oder</w:t>
      </w:r>
    </w:p>
    <w:p>
      <w:pPr>
        <w:ind w:left="780"/>
      </w:pPr>
      <w:r>
        <w:t xml:space="preserve">b) von einem elektronischen Gerät aus oder über dieses ausgeführt und auf der entsprechenden Rechnung im Rahmen einer gemeinnützigen Tätigkeit oder für den Erwerb von Tickets abgerechnet werden,</w:t>
      </w:r>
    </w:p>
    <w:p>
      <w:pPr>
        <w:ind w:left="420"/>
      </w:pPr>
      <w:r>
        <w:t xml:space="preserve">sofern der Wert einer Einzelzahlung 50 Euro nicht überschreitet und der kumulative Wert der Zahlungsvorgänge eines einzelnen Teilnehmers monatlich 300 Euro nicht überschreitet;</w:t>
      </w:r>
    </w:p>
    <w:p>
      <w:pPr>
        <w:ind w:left="420"/>
      </w:pPr>
      <w:r>
        <w:t xml:space="preserve">12. Zahlungsvorgänge, die zwischen Zahlungsdienstleistern, ihren Agenten oder Zweigniederlassungen auf eigene Rechnung ausgeführt werden;</w:t>
      </w:r>
    </w:p>
    <w:p>
      <w:pPr>
        <w:ind w:left="420"/>
      </w:pPr>
      <w:r>
        <w:t xml:space="preserve">13. Zahlungsvorgänge und damit verbundene Dienste innerhalb eines Konzerns oder zwischen Mitgliedern einer kreditwirtschaftlichen Verbundgruppe;</w:t>
      </w:r>
    </w:p>
    <w:p>
      <w:pPr>
        <w:ind w:left="420"/>
      </w:pPr>
      <w:r>
        <w:t xml:space="preserve">14. Bargeldabhebungsdienste, vorausgesetzt, dass dieser Dienstleister keine anderen Zahlungsdienste erbringt;</w:t>
      </w:r>
    </w:p>
    <w:p>
      <w:pPr>
        <w:ind w:left="420"/>
      </w:pPr>
      <w:r>
        <w:t xml:space="preserve">15. die nicht gewerbsmäßige Entgegennahme und Übergabe von Bargeld im Rahmen einer gemeinnützigen Tätigkeit oder einer Tätigkeit ohne Erwerbszweck.</w:t>
      </w:r>
    </w:p>
    <w:p>
      <w:r>
        <w:t xml:space="preserve">(2) Übt ein Unternehmen eine Tätigkeit nach Absatz 1 Nummer 10 Buchstabe a oder Buchstabe b aus und überschreitet der Gesamtwert der Zahlungsvorgänge der vorangegangenen zwölf Monate den Betrag von 1 Million Euro, hat es diese Tätigkeit der Bundesanstalt anzuzeigen und in einer Beschreibung der angebotenen Dienstleistung anzugeben, welche Ausnahme nach Absatz 1 Nummer 10 Buchstabe a oder Buchstabe b in Anspruch genommen wird. Auf Grundlage dieser Anzeige entscheidet die Bundesanstalt, ob die Voraussetzungen des Absatzes 1 Nummer 10 Buchstabe a oder Buchstabe b vorliegen. Entspricht die Tätigkeit des Unternehmens nicht den Voraussetzungen des Absatzes 1 Nummer 10 Buchstabe a oder Buchstabe b, setzt die Bundesanstalt es hiervon in Kenntnis.</w:t>
      </w:r>
    </w:p>
    <w:p>
      <w:r>
        <w:t xml:space="preserve">(3) Übt ein Unternehmen eine Tätigkeit nach Absatz 1 Nummer 11 aus, hat es diese Tätigkeit der Bundesanstalt anzuzeigen und ihr in einem jährlichen Bestätigungsvermerk mitzuteilen, dass die Tätigkeit die in Absatz 1 Nummer 11 festgelegten Obergrenzen nicht überschreitet.</w:t>
      </w:r>
    </w:p>
    <w:p>
      <w:r>
        <w:t xml:space="preserve">(4) Die Bundesanstalt hat die Europäische Bankenaufsichtsbehörde über die Anzeigen nach den Absätzen 2 und 3 unter Angabe der jeweils in Anspruch genommenen Ausnahme zu unterrichten. Die Bundesanstalt hat die Informationen, die ihr nach den Absätzen 2 und 3 angezeigt werden, in dem Zahlungsinstituts-Register oder, soweit die Ausnahme über § 1 Absatz 2 Satz 4 anwendbar ist, in dem E-Geld-Instituts-Register öffentlich zugänglich zu machen; die Europäische Bankenaufsichtsbehörde unterrichtet sie gesondert.</w:t>
      </w:r>
    </w:p>
    <w:p>
      <w:r>
        <w:t xml:space="preserve">(5) Das Bundesministerium der Finanzen wird ermächtigt, durch Rechtsverordnung, die nicht der Zustimmung des Bundesrates bedarf, nähere Bestimmungen über Inhalt, Art und Umfang der Angaben, Nachweise und Unterlagen zu treffen, die eine Anzeige nach den Absätzen 2 und 3 enthalten muss. Diese kann insbesondere nähere Bestimmungen enthalten zu:</w:t>
      </w:r>
    </w:p>
    <w:p>
      <w:pPr>
        <w:ind w:left="420"/>
      </w:pPr>
      <w:r>
        <w:t xml:space="preserve">1. der Ausgestaltung der Beschreibung der angebotenen Dienstleistungen im Falle der Inanspruchnahme einer Ausnahme nach Absatz 1 Nummer 10 Buchstabe a oder Buchstabe b,</w:t>
      </w:r>
    </w:p>
    <w:p>
      <w:pPr>
        <w:ind w:left="420"/>
      </w:pPr>
      <w:r>
        <w:t xml:space="preserve">2. dem Bestätigungsvermerk im Falle der Inanspruchnahme der Ausnahme nach Absatz 1 Nummer 11,</w:t>
      </w:r>
    </w:p>
    <w:p>
      <w:pPr>
        <w:ind w:left="420"/>
      </w:pPr>
      <w:r>
        <w:t xml:space="preserve">3. den zulässigen Datenträgern, Übertragungswegen und Datenformaten und über zu verwendende und anzuzeigende Zusatzinformationen zu den Hauptinformationen, etwa besondere Rechtsträgerkennungen sowie Angaben zu deren Aktualität oder Validität.</w:t>
      </w:r>
    </w:p>
    <w:p>
      <w:r>
        <w:t xml:space="preserve">Das Bundesministerium der Finanzen kann in der Rechtsverordnung die Anzeigepflichten durch die Pflicht zur Erstattung von Sammelanzeigen und zur Einreichung von Sammelaufstellungen ergänzen, soweit dies zur Erfüllung der Aufgaben der Bundesanstalt erforderlich erscheint, auch um einheitliche Unterlagen zur Beurteilung der unter diesen Bereichsausnahmen durchgeführten Geschäfte zu erhalten. Die Rechtsverordnung kann auch nähere Bestimmungen zur Unterrichtung der Europäischen Bankenaufsichtsbehörde und zur öffentlichen Zugänglichmachung der Informationen in dem Zahlungsinstituts-Register und dem E-Geld-Instituts-Register regeln. Das Bundesministerium der Finanzen kann die Ermächtigung durch Rechtsverordnung auf die Bundesanstalt übertragen. Vor Erlass der Rechtsverordnung sind die Spitzenverbände der Institute anzuhören.</w:t>
      </w:r>
    </w:p>
    <w:p>
      <w:r>
        <w:t xml:space="preserve">(6) Auf Zahlungsinstitute, die als Zahlungsdienst nur den Kontoinformationsdienst anbieten, sind die §§ 10 bis 18, 21 Absatz 1, 3, 4 Satz 2 bis 7 und Absatz 5, § 23 Absatz 1 Satz 3 und § 25 nicht anzuwenden.</w:t>
      </w:r>
    </w:p>
    <w:p>
      <w:r>
        <w:t xml:space="preserve">(7) Auf Institute, die eine Erlaubnis nach § 32 Absatz 1 Satz 1 des Kreditwesengesetzes haben, sind die §§ 14, 19, 20, 22, 23, 26, 28 und 30 nicht anzuwenden, soweit das Kreditwesengesetz eine inhaltsgleiche Regelung enthält.</w:t>
      </w:r>
    </w:p>
    <w:p>
      <w:r>
        <w:rPr>
          <w:color w:val="555555"/>
          <w:sz w:val="17"/>
        </w:rPr>
        <w:t xml:space="preserve">Zitiervorschlag: § 2 ZAG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https://recht.nulegal.eu/gesetze/ZAG%202018/2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