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ZAG 2018 — Sicherungsanforderungen für die Entgegennahme von Geldbeträgen im Rahmen der Erbringung von Zahlungsdiensten und des Betreibens des E-Geld-Geschäfts</w:t>
      </w:r>
    </w:p>
    <w:p>
      <w:r>
        <w:rPr>
          <w:color w:val="555555"/>
          <w:sz w:val="18"/>
        </w:rPr>
        <w:t xml:space="preserve">Zahlungsdiensteaufsichtsgesetz</w:t>
      </w:r>
    </w:p>
    <w:p>
      <w:r>
        <w:rPr>
          <w:color w:val="555555"/>
          <w:sz w:val="18"/>
        </w:rPr>
        <w:t xml:space="preserve">Stand: 13.04.2025 (konsolidierte Textfassung, kein amtliches Inkrafttretensdatum)</w:t>
      </w:r>
    </w:p>
    <w:p>
      <w:r>
        <w:t xml:space="preserve">(1) Institute, die die Zahlungsdienste gemäß § 1 Absatz 1 Satz 2 Nummer 1 bis 6 erbringen oder das E-Geld-Geschäft betreiben, haben die Geldbeträge, die sie von den Zahlungsdienstnutzern oder über einen anderen Zahlungsdienstleister für die Ausführung von Zahlungsvorgängen oder die Ausgabe von E-Geld entgegengenommen haben, nach den Methoden 1 oder 2 zu sichern. Die Geldbeträge</w:t>
      </w:r>
    </w:p>
    <w:p>
      <w:pPr>
        <w:ind w:left="780"/>
      </w:pPr>
      <w:r>
        <w:t xml:space="preserve">a) dürfen zu keinem Zeitpunkt mit den Geldbeträgen anderer natürlicher oder juristischer Personen als der Zahlungsdienstnutzer oder E-Geld-Inhaber, für die sie gehalten werden, vermischt werden,</w:t>
      </w:r>
    </w:p>
    <w:p>
      <w:pPr>
        <w:ind w:left="780"/>
      </w:pPr>
      <w:r>
        <w:t xml:space="preserve">b) sind, wenn sie sich am Ende des auf den Tag ihres Eingangs folgenden Geschäftstags noch im Besitz des Instituts befinden und noch nicht dem Zahlungsempfänger übergeben oder an einen anderen Zahlungsdienstleister übermittelt worden sind, auf einem gesonderten Konto bei einem Kreditinstitut oder auf einem Konto bei der Deutschen Bundesbank oder einer anderen Zentralbank eines Mitgliedstaates der Europäischen Union nach deren Ermessen zu hinterlegen oder in sichere liquide Aktiva mit niedrigem Risiko nach Abstimmung mit der Bundesanstalt anzulegen; die Bundesanstalt kann insoweit nach pflichtgemäßem Ermessen im Einzelfall nach § 1 Absatz 31 grundsätzlich erfasste Aktiva ausschließen, wenn die kategorische Einordnung als sichere liquide Aktiva mit niedrigem Risiko mit Rücksicht auf die objektive Werthaltigkeit der Sicherheit, insbesondere Fälligkeit und anderer relevanter Risikofaktoren sachlich nicht gerechtfertigt erscheint, oder</w:t>
      </w:r>
    </w:p>
    <w:p>
      <w:pPr>
        <w:ind w:left="780"/>
      </w:pPr>
      <w:r>
        <w:t xml:space="preserve">c) (weggefallen)</w:t>
      </w:r>
    </w:p>
    <w:p>
      <w:pPr>
        <w:ind w:left="420"/>
      </w:pPr>
      <w:r>
        <w:t xml:space="preserve">2. sind durch eine Versicherung oder eine andere vergleichbare Garantie bei einem Versicherungsunternehmen oder Kreditinstitut, das im Geltungsbereich dieses Gesetzes zum Geschäftsbetrieb befugt ist und nicht zur selben Gruppe gehört wie das Institut selbst, in Höhe eines Betrags abzusichern, der demjenigen entspricht, der ohne die Versicherung oder die andere vergleichbare Garantie getrennt gehalten werden müsste und der im Falle der Zahlungsunfähigkeit des Zahlungsinstituts auszuzahlen ist.</w:t>
      </w:r>
    </w:p>
    <w:p>
      <w:r>
        <w:t xml:space="preserve">Die Bundesanstalt kann dem Institut nach pflichtgemäßem Ermessen eine der beiden in Satz 2 beschriebenen Methoden vorgeben. Sichert das Institut die entgegengenommenen Geldbeträge nach der Methode 1 durch Hinterlegung oder Anlage in sichere liquide Aktiva mit niedrigem Risiko, gilt der hinterlegte Geldbetrag oder die sicheren liquiden Aktiva mit niedrigem Risiko im Verhältnis zu den Gläubigern des Instituts als den Kunden gehörig.</w:t>
      </w:r>
    </w:p>
    <w:p>
      <w:r>
        <w:t xml:space="preserve">(2) Muss ein Institut Geldbeträge nach Absatz 1 absichern und ist ein Teil dieser Geldbeträge für zukünftige Zahlungsvorgänge zu verwenden, während der verbleibende Teil für Dienste, die keine Zahlungsdienste sind, verwendet werden muss, gilt Absatz 1 auch für den Anteil der Geldbeträge, der für zukünftige Zahlungsvorgänge zu verwenden ist. Ist dieser Anteil variabel oder nicht im Voraus bekannt, ist Satz 1 mit der Maßgabe anzuwenden, dass ein repräsentativer Anteil zugrunde gelegt wird, der typischerweise für Zahlungsdienste verwendet wird, sofern sich dieser repräsentative Anteil auf der Grundlage historischer Daten nach Überzeugung der Bundesanstalt mit hinreichender Sicherheit schätzen lässt.</w:t>
      </w:r>
    </w:p>
    <w:p>
      <w:r>
        <w:t xml:space="preserve">(3) Das Institut hat der Bundesanstalt während des laufenden Geschäftsbetriebs auf Anforderung darzulegen und nachzuweisen, dass es ausreichende Maßnahmen ergriffen hat, um die in den Absätzen 1 und 2 genannten Anforderungen zu erfüllen. Wird der Nachweis nicht erbracht oder sind die Maßnahmen nicht ausreichend, kann die Bundesanstalt das Institut auffordern, die erforderlichen Nachweise vorzulegen oder Vorkehrungen zu treffen, die geeignet und erforderlich sind, die bestehenden Mängel zu beseitigen; die Bundesanstalt kann dafür eine angemessene Frist bestimmen. Werden die Nachweise oder Vorkehrungen nicht oder nicht fristgerecht vorgelegt oder getroffen, kann die Bundesanstalt Maßnahmen nach § 21 Absatz 2 treffen.</w:t>
      </w:r>
    </w:p>
    <w:p>
      <w:r>
        <w:rPr>
          <w:color w:val="555555"/>
          <w:sz w:val="17"/>
        </w:rPr>
        <w:t xml:space="preserve">Zitiervorschlag: § 17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