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ZAG 2018 — Erlöschen und Aufhebung der Erlaubnis</w:t>
      </w:r>
    </w:p>
    <w:p>
      <w:r>
        <w:rPr>
          <w:color w:val="555555"/>
          <w:sz w:val="18"/>
        </w:rPr>
        <w:t xml:space="preserve">Zahlungsdiensteaufsichtsgesetz</w:t>
      </w:r>
    </w:p>
    <w:p>
      <w:r>
        <w:rPr>
          <w:color w:val="555555"/>
          <w:sz w:val="18"/>
        </w:rPr>
        <w:t xml:space="preserve">Stand: 04.01.2025 (konsolidierte Textfassung, kein amtliches Inkrafttretensdatum)</w:t>
      </w:r>
    </w:p>
    <w:p>
      <w:r>
        <w:t xml:space="preserve">(1) Die Erlaubnis eines Instituts erlischt, wenn das Institut von ihr nicht innerhalb eines Jahres seit ihrer Erteilung Gebrauch macht oder wenn es ausdrücklich auf sie verzichtet. Die Erlaubnis erlischt auch dann, wenn im Zuge einer Umwandlung nach § 305, § 320 oder § 333 des Umwandlungsgesetzes ein als juristische Person verfasstes Institut seinen juristischen Sitz ins Ausland verlegt.</w:t>
      </w:r>
    </w:p>
    <w:p>
      <w:r>
        <w:t xml:space="preserve">(2) Die Bundesanstalt kann die Erlaubnis außer nach den Vorschriften des Verwaltungsverfahrensgesetzes aufheben, wenn</w:t>
      </w:r>
    </w:p>
    <w:p>
      <w:pPr>
        <w:ind w:left="420"/>
      </w:pPr>
      <w:r>
        <w:t xml:space="preserve">1. der Geschäftsbetrieb, auf den sich die Erlaubnis bezieht, seit mehr als sechs Monaten nicht mehr ausgeübt worden ist,</w:t>
      </w:r>
    </w:p>
    <w:p>
      <w:pPr>
        <w:ind w:left="420"/>
      </w:pPr>
      <w:r>
        <w:t xml:space="preserve">2. die Erlaubnis aufgrund falscher Angaben oder auf andere Weise unrechtmäßig erlangt wurde,</w:t>
      </w:r>
    </w:p>
    <w:p>
      <w:pPr>
        <w:ind w:left="420"/>
      </w:pPr>
      <w:r>
        <w:t xml:space="preserve">3. Tatsachen bekannt werden, die die Versagung der Erlaubnis rechtfertigten oder gegen die Mitteilungspflichten nach § 10 Absatz 5 oder § 11 Absatz 4 verstoßen wird,</w:t>
      </w:r>
    </w:p>
    <w:p>
      <w:pPr>
        <w:ind w:left="420"/>
      </w:pPr>
      <w:r>
        <w:t xml:space="preserve">4. die Fortsetzung der Erbringung von Zahlungsdiensten oder des Betreibens des E-Geld-Geschäfts die Stabilität des betriebenen Zahlungssystems oder das Vertrauen darin gefährden würde oder</w:t>
      </w:r>
    </w:p>
    <w:p>
      <w:pPr>
        <w:ind w:left="420"/>
      </w:pPr>
      <w:r>
        <w:t xml:space="preserve">5. schwerwiegend, wiederholt oder systematisch gegen § 27, gegen das Geldwäschegesetz, gegen die Verordnung (EU) 2023/1113 des Europäischen Parlaments und des Rates vom 31. Mai 2023 über die Übermittlung von Angaben bei Geldtransfers und Transfers bestimmter Kryptowerte und zur Änderung der Richtlinie (EU) 2015/849 (ABl. L 150 vom 9.6.2023, S. 1) oder gegen die zur Durchführung dieser Vorschriften erlassenen Verordnungen oder vollziehbaren Anordnungen verstoßen wurde.</w:t>
      </w:r>
    </w:p>
    <w:p>
      <w:r>
        <w:t xml:space="preserve">(3) § 38 des Kreditwesengesetzes gilt entsprechend. § 48 Absatz 4 Satz 1 und § 49 Absatz 2 Satz 2 des Verwaltungsverfahrensgesetzes über die Jahresfrist sind nicht anzuwenden.</w:t>
      </w:r>
    </w:p>
    <w:p>
      <w:r>
        <w:t xml:space="preserve">(4) Die Bundesanstalt macht die Aufhebung oder das Erlöschen der Erlaubnis im Bundesanzeiger und in dem Institutsregister nach § 43 oder § 44 bekannt.</w:t>
      </w:r>
    </w:p>
    <w:p>
      <w:r>
        <w:rPr>
          <w:color w:val="555555"/>
          <w:sz w:val="17"/>
        </w:rPr>
        <w:t xml:space="preserve">Zitiervorschlag: § 13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https://recht.nulegal.eu/gesetze/ZAG%202018/13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