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ZAG 2018 — Versagung der Erlaubnis</w:t>
      </w:r>
    </w:p>
    <w:p>
      <w:r>
        <w:rPr>
          <w:color w:val="555555"/>
          <w:sz w:val="18"/>
        </w:rPr>
        <w:t xml:space="preserve">Zahlungsdiensteaufsichtsgesetz</w:t>
      </w:r>
    </w:p>
    <w:p>
      <w:r>
        <w:rPr>
          <w:color w:val="555555"/>
          <w:sz w:val="18"/>
        </w:rPr>
        <w:t xml:space="preserve">Stand: 26.06.2021 (konsolidierte Textfassung, kein amtliches Inkrafttretensdatum)</w:t>
      </w:r>
    </w:p>
    <w:p>
      <w:r>
        <w:t xml:space="preserve">Die Erlaubnis zur Erbringung von Zahlungsdiensten oder zum Betreiben des E-Geld-Geschäfts ist zu versagen, wenn</w:t>
      </w:r>
    </w:p>
    <w:p>
      <w:pPr>
        <w:ind w:left="420"/>
      </w:pPr>
      <w:r>
        <w:t xml:space="preserve">1. der Antragsteller keine juristische Person oder Personenhandelsgesellschaft ist;</w:t>
      </w:r>
    </w:p>
    <w:p>
      <w:pPr>
        <w:ind w:left="420"/>
      </w:pPr>
      <w:r>
        <w:t xml:space="preserve">2. der Antrag entgegen § 10 Absatz 2 oder § 11 Absatz 2 keine ausreichenden Angaben oder Unterlagen enthält oder die eingereichten Angaben und Unterlagen keine positive Gesamtbewertung zulassen;</w:t>
      </w:r>
    </w:p>
    <w:p>
      <w:pPr>
        <w:ind w:left="420"/>
      </w:pPr>
      <w:r>
        <w:t xml:space="preserve">3. die zum Geschäftsbetrieb erforderlichen Mittel, insbesondere ein ausreichendes Anfangskapital, im Inland nicht zur Verfügung stehen; als Anfangskapital muss zur Verfügung stehen:</w:t>
      </w:r>
    </w:p>
    <w:p>
      <w:pPr>
        <w:ind w:left="780"/>
      </w:pPr>
      <w:r>
        <w:t xml:space="preserve">a) bei Zahlungsinstituten, die nur das Finanztransfergeschäft betreiben, ein Betrag im Gegenwert von mindestens 20 000 Euro;</w:t>
      </w:r>
    </w:p>
    <w:p>
      <w:pPr>
        <w:ind w:left="780"/>
      </w:pPr>
      <w:r>
        <w:t xml:space="preserve">b) bei Zahlungsinstituten, die nur Zahlungsauslösedienste anbieten, ein Betrag im Gegenwert von mindestens 50 000 Euro;</w:t>
      </w:r>
    </w:p>
    <w:p>
      <w:pPr>
        <w:ind w:left="780"/>
      </w:pPr>
      <w:r>
        <w:t xml:space="preserve">c) bei Zahlungsinstituten, die die Zahlungsdienste im Sinne des § 1 Absatz 1 Satz 2 Nummer 1 bis 5 anbieten, ein Betrag im Gegenwert von mindestens 125 000 Euro;</w:t>
      </w:r>
    </w:p>
    <w:p>
      <w:pPr>
        <w:ind w:left="780"/>
      </w:pPr>
      <w:r>
        <w:t xml:space="preserve">d) bei E-Geld-Instituten ein Betrag im Gegenwert von mindestens 350 000 Euro;</w:t>
      </w:r>
    </w:p>
    <w:p>
      <w:pPr>
        <w:ind w:left="420"/>
      </w:pPr>
      <w:r>
        <w:t xml:space="preserve">ist das Institut zugleich Institut im Sinne des § 1 Absatz 1b des Kreditwesengesetzes oder Wertpapierinstitut im Sinne des Wertpapierinstitutsgesetzes, gilt der nach dieser Vorschrift oder nach § 33 Absatz 1 des Kreditwesengesetzes oder nach § 17 Absatz 1 des Wertpapierinstitutsgesetzes jeweils höhere Betrag;</w:t>
      </w:r>
    </w:p>
    <w:p>
      <w:pPr>
        <w:ind w:left="420"/>
      </w:pPr>
      <w:r>
        <w:t xml:space="preserve">4. Tatsachen die Annahme rechtfertigen, dass der Antragsteller oder der Inhaber einer bedeutenden Beteiligung oder, wenn dieser eine juristische Person ist, auch ein gesetzlicher oder satzungsmäßiger Vertreter, oder, wenn er eine Personenhandelsgesellschaft ist, auch ein Gesellschafter, nicht zuverlässig ist oder aus anderen Gründen nicht den im Interesse einer soliden und umsichtigen Führung des Zahlungsinstituts zu stellenden Ansprüchen genügt;</w:t>
      </w:r>
    </w:p>
    <w:p>
      <w:pPr>
        <w:ind w:left="420"/>
      </w:pPr>
      <w:r>
        <w:t xml:space="preserve">5. Tatsachen vorliegen, aus denen sich ergibt, dass ein Geschäftsleiter nicht zuverlässig ist oder nicht die zur Leitung des Antragstellers erforderliche fachliche Eignung hat und auch nicht eine andere Person nach § 1 Absatz 8 Satz 2 als Geschäftsleiter bestimmt wird; die fachliche Eignung setzt voraus, dass in ausreichendem Maß theoretische und praktische Kenntnisse und Fähigkeiten in den betreffenden Geschäften und Leitungserfahrung vorhanden sind;</w:t>
      </w:r>
    </w:p>
    <w:p>
      <w:pPr>
        <w:ind w:left="420"/>
      </w:pPr>
      <w:r>
        <w:t xml:space="preserve">6. der Antragsteller nicht über wirksame Verfahren zur Ermittlung, Steuerung, Überwachung und Meldung von Risiken sowie angemessene interne Kontrollverfahren einschließlich solider Verwaltungs- und Rechnungslegungsverfahren verfügt;</w:t>
      </w:r>
    </w:p>
    <w:p>
      <w:pPr>
        <w:ind w:left="420"/>
      </w:pPr>
      <w:r>
        <w:t xml:space="preserve">7. Tatsachen die Annahme rechtfertigen, dass eine wirksame Aufsicht über den Antragsteller beeinträchtigt wird; dies ist insbesondere der Fall, wenn</w:t>
      </w:r>
    </w:p>
    <w:p>
      <w:pPr>
        <w:ind w:left="780"/>
      </w:pPr>
      <w:r>
        <w:t xml:space="preserve">a) der Antragsteller mit anderen Personen oder Unternehmen in einen Unternehmensverbund eingebunden ist oder in einer engen Verbindung im Sinne des Artikels 4 Absatz 1 Nummer 38 der Verordnung (EU) Nr. 575/2013 zu einem solchen steht, der durch die Struktur des Beteiligungsgeflechtes oder mangelhafte wirtschaftliche Transparenz eine wirksame Aufsicht über das Institut beeinträchtigt,</w:t>
      </w:r>
    </w:p>
    <w:p>
      <w:pPr>
        <w:ind w:left="780"/>
      </w:pPr>
      <w:r>
        <w:t xml:space="preserve">b) eine wirksame Aufsicht über den Antragsteller wegen der für solche Personen oder Unternehmen geltenden Rechts- oder Verwaltungsvorschriften eines Drittstaates beeinträchtigt wird oder</w:t>
      </w:r>
    </w:p>
    <w:p>
      <w:pPr>
        <w:ind w:left="780"/>
      </w:pPr>
      <w:r>
        <w:t xml:space="preserve">c) der Antragsteller Tochterunternehmen eines Instituts mit Sitz in einem Drittstaat ist, das im Staat seines Sitzes oder seiner Hauptverwaltung nicht wirksam beaufsichtigt wird oder dessen zuständige Aufsichtsbehörde zu einer befriedigenden Zusammenarbeit mit der Bundesanstalt nicht bereit ist;</w:t>
      </w:r>
    </w:p>
    <w:p>
      <w:pPr>
        <w:ind w:left="420"/>
      </w:pPr>
      <w:r>
        <w:t xml:space="preserve">8. der Antragsteller seine Hauptverwaltung nicht im Inland hat oder nicht zumindest einen Teil seiner Zahlungsdienste im Inland erbringt oder seines E-Geld-Geschäfts im Inland betreibt;</w:t>
      </w:r>
    </w:p>
    <w:p>
      <w:pPr>
        <w:ind w:left="420"/>
      </w:pPr>
      <w:r>
        <w:t xml:space="preserve">9. der Antragsteller nicht über eine Absicherung für den Haftungsfall gemäß den Voraussetzungen des § 16 oder § 36 verfügt;</w:t>
      </w:r>
    </w:p>
    <w:p>
      <w:pPr>
        <w:ind w:left="420"/>
      </w:pPr>
      <w:r>
        <w:t xml:space="preserve">10. die Erfüllung der Sicherungsanforderungen nach § 17 oder § 18 der Bundesanstalt nicht ausreichend nachgewiesen wird;</w:t>
      </w:r>
    </w:p>
    <w:p>
      <w:pPr>
        <w:ind w:left="420"/>
      </w:pPr>
      <w:r>
        <w:t xml:space="preserve">11. der Antragsteller gegen das Verbot der Ausgabe von E-Geld über andere Personen nach § 31 verstößt;</w:t>
      </w:r>
    </w:p>
    <w:p>
      <w:pPr>
        <w:ind w:left="420"/>
      </w:pPr>
      <w:r>
        <w:t xml:space="preserve">12. eine Rechtsnorm der Europäischen Union oder des nationalen Rechts der Erteilung der Erlaubnis entgegensteht.</w:t>
      </w:r>
    </w:p>
    <w:p>
      <w:r>
        <w:rPr>
          <w:color w:val="555555"/>
          <w:sz w:val="17"/>
        </w:rPr>
        <w:t xml:space="preserve">Zitiervorschlag: § 12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