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ZÜSVBbg (Brandenburg) — Erfassung überwachungsbedürftiger Anlagen</w:t>
      </w:r>
    </w:p>
    <w:p>
      <w:r>
        <w:rPr>
          <w:color w:val="555555"/>
          <w:sz w:val="18"/>
        </w:rPr>
        <w:t xml:space="preserve">Verordnung über zugelassene Überwachungsstellen nach dem Produktsicherheitsgesetz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Überwachungsbedürftige Anlagen werden durch eine dateiführende Stelle in einer Anlagendatei erfasst.</w:t>
      </w:r>
    </w:p>
    <w:p>
      <w:r>
        <w:t xml:space="preserve">(2) Die dateiführende Stelle und die in der Anlagendatei zu erfassenden Daten werden durch die für die Durchführung des Produktsicherheitsgesetzes zuständige oberste Landesbehörde bestimmt und im Amtsblatt für Brandenburg bekannt gemacht.</w:t>
      </w:r>
    </w:p>
    <w:p>
      <w:r>
        <w:rPr>
          <w:color w:val="555555"/>
          <w:sz w:val="17"/>
        </w:rPr>
        <w:t xml:space="preserve">Zitiervorschlag: § 2 ZÜSVBbg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https://recht.nulegal.eu/gesetze/Z%C3%9CSVBbg/2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