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58a ZÄPrO</w:t>
      </w:r>
    </w:p>
    <w:p>
      <w:r>
        <w:rPr>
          <w:color w:val="555555"/>
          <w:sz w:val="18"/>
        </w:rPr>
        <w:t xml:space="preserve">Approbationsordnung für Zahnärzte</w:t>
      </w:r>
    </w:p>
    <w:p>
      <w:r>
        <w:rPr>
          <w:color w:val="555555"/>
          <w:sz w:val="18"/>
        </w:rPr>
        <w:t xml:space="preserve">Historische Fassung: Stand 10.06.2019 bis 01.10.2020. Dies ist nicht die aktuelle Fassung.</w:t>
      </w:r>
    </w:p>
    <w:p>
      <w:r>
        <w:t xml:space="preserve">(1) Der Bescheid nach § 2 Absatz 2 Satz 8 und Absatz 3 Satz 2 des Gesetzes über die Ausübung der Zahnheilkunde enthält folgende Angaben:</w:t>
      </w:r>
    </w:p>
    <w:p>
      <w:pPr>
        <w:ind w:left="420"/>
      </w:pPr>
      <w:r>
        <w:t xml:space="preserve">1. das Niveau der in Deutschland verlangten Qualifikation und das Niveau der von den Antragstellern vorgelegten Qualifikation gemäß der Klassifizierung in Artikel 11 der Richtlinie 2005/36/EG des Europäischen Parlaments und des Rates vom 7. September 2005 über die Anerkennung von Berufsqualifikationen (ABl. L 255 vom 30.9.2005, S. 22, L 354 vom 20.12.2013, S. 132),</w:t>
      </w:r>
    </w:p>
    <w:p>
      <w:pPr>
        <w:ind w:left="420"/>
      </w:pPr>
      <w:r>
        <w:t xml:space="preserve">2. die Fächer, bei denen wesentliche Unterschiede festgestellt wurden,</w:t>
      </w:r>
    </w:p>
    <w:p>
      <w:pPr>
        <w:ind w:left="420"/>
      </w:pPr>
      <w:r>
        <w:t xml:space="preserve">3. eine inhaltliche Erläuterung der wesentlichen Unterschiede sowie die Begründung, warum diese dazu führen, dass der Antragsteller nicht in ausreichender Form über die in Deutschland zur Ausübung des zahnärztlichen Berufs notwendigen Kenntnisse und Fähigkeiten verfügt, und</w:t>
      </w:r>
    </w:p>
    <w:p>
      <w:pPr>
        <w:ind w:left="420"/>
      </w:pPr>
      <w:r>
        <w:t xml:space="preserve">4. eine Begründung, warum die wesentlichen Unterschiede nicht durch Kenntnisse und Fähigkeiten ausgeglichen werden konnten, die der Antragsteller im Rahmen seiner zahnärztlichen Berufspraxis oder durch lebenslanges Lernen im Sinne des § 2 Absatz 2 Satz 5 des Gesetzes über die Ausübung der Zahnheilkunde erworben hat.</w:t>
      </w:r>
    </w:p>
    <w:p>
      <w:r>
        <w:t xml:space="preserve">(2) Die Länder haben sicherzustellen, dass die Antragsteller die Eignungsprüfung nach § 2 Absatz 2 Satz 7 des Gesetzes über die Ausübung der Zahnheilkunde innerhalb von sechs Monaten nach der Entscheidung nach § 2 Absatz 2 Satz 8 des Gesetzes über die Ausübung der Zahnheilkunde ablegen können. Satz 1 gilt entsprechend für die Prüfung nach § 2 Absatz 3 Satz 3 des Gesetzes über die Ausübung der Zahnheilkunde.</w:t>
      </w:r>
    </w:p>
    <w:p>
      <w:r>
        <w:rPr>
          <w:color w:val="555555"/>
          <w:sz w:val="17"/>
        </w:rPr>
        <w:t xml:space="preserve">Zitiervorschlag: § 58a ZÄPrO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https://recht.nulegal.eu/gesetze/Z%C3%84PrO/58a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