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(1) Die Prüfung in der Chirurgie (VIII) umfaßt drei Teile.</w:t>
      </w:r>
    </w:p>
    <w:p>
      <w:r>
        <w:t xml:space="preserve">(2) In dem ersten Teil der Prüfung, der von einem Prüfer an zwei Tagen abgehalten wird, hat der Kandidat einen Kranken in Gegenwart des Prüfers zu untersuchen, die Anamnese zu erheben, die Diagnose und die Prognose des Falles zu stellen sowie den Heilplan festzulegen, den Befund sofort unter Gegenzeichnung des Prüfers niederzuschreiben und noch an demselben Tage zu Hause über den Krankheitsfall einen kritischen Bericht anzufertigen, der, mit Datum und Namensunterschrift versehen, am nächsten Tag dem Prüfer zu übergeben ist. Am zweiten Tag hat der Kandidat in einer mündlichen Prüfung nachzuweisen, daß er die für den Zahnarzt erforderlichen Kenntnisse in der allgemeinen Chirurgie besitzt.</w:t>
      </w:r>
    </w:p>
    <w:p>
      <w:r>
        <w:t xml:space="preserve">(3) In dem zweiten Teil der Prüfung, der von zwei Prüfern an je zwei Tagen abgehalten wird, hat der Kandidat einen Kranken in Gegenwart des Prüfers zu untersuchen, die Anamnese zu erheben, die Diagnose und die Prognose des Falles zu stellen sowie den Heilplan festzulegen, den Befund sofort unter Gegenzeichnung des Prüfers niederzuschreiben und noch an demselben Tage zu Hause über den Krankheitsfall einen kritischen Bericht anzufertigen, der, mit Datum und Namensunterschrift versehen, am nächsten Tag dem Prüfer zu übergeben ist. Dabei hat der Kandidat noch an weiteren Kranken seine Fähigkeiten in der Diagnostik und Prognostik der für den Zahnarzt wichtigen chirurgischen Krankheiten und seine Vertrautheit mit den verschiedenen Methoden ihrer Behandlung sowie seine Fähigkeiten in der Ausführung kleinerer Operationen nachzuweisen. In einer mündlichen Prüfung hat sich der Prüfer zu überzeugen, daß der Kandidat ausreichende Kenntnisse in der Diagnose, Prognose und Therapie der chirurgischen Erkrankungen des Zahn-, Mund- und Kieferbereiches hat.</w:t>
      </w:r>
    </w:p>
    <w:p>
      <w:r>
        <w:t xml:space="preserve">(4) In dem dritten Teil der Prüfung, der von einem Prüfer an einem Tag abgehalten wird, hat der Kandidat die für den Zahnarzt erforderlichen Kenntnisse und praktischen Fähigkeiten der Radiologie sowie die nach dem Strahlenschutzgesetz für den Strahlenschutz erforderliche Fachkunde nachzuweisen.</w:t>
      </w:r>
    </w:p>
    <w:p>
      <w:r>
        <w:rPr>
          <w:color w:val="555555"/>
          <w:sz w:val="17"/>
        </w:rPr>
        <w:t xml:space="preserve">Zitiervorschlag: § 48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