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(1) Binnen drei Tagen nach Empfang der Zulassungsverfügung hat sich der Kandidat bei dem Vorsitzenden ohne besondere Aufforderung persönlich zu melden und hierbei die Zulassungsverfügung vorzulegen.</w:t>
      </w:r>
    </w:p>
    <w:p>
      <w:r>
        <w:t xml:space="preserve">(2) Der von dem Vorsitzenden für den ersten Prüfungsabschnitt festgesetzte Termin gilt als Tag des Beginns der Prüfung.</w:t>
      </w:r>
    </w:p>
    <w:p>
      <w:r>
        <w:rPr>
          <w:color w:val="555555"/>
          <w:sz w:val="17"/>
        </w:rPr>
        <w:t xml:space="preserve">Zitiervorschlag: § 38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