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Der Meldung sind die für die Zulassung zur zahnärztlichen Vorprüfung erforderlichen Nachweise, die Nachweise über etwa bewilligte Ausnahmen sowie das Zeugnis über die vollständig bestandene zahnärztliche Vorprüfung beizufügen.</w:t>
      </w:r>
    </w:p>
    <w:p>
      <w:r>
        <w:t xml:space="preserve">(2) Als Ersatz für die zahnärztliche Vorprüfung kann eine im Ausland vollständig bestandene entsprechende Prüfung nur ausnahmsweise anerkannt werden.</w:t>
      </w:r>
    </w:p>
    <w:p>
      <w:r>
        <w:rPr>
          <w:color w:val="555555"/>
          <w:sz w:val="17"/>
        </w:rPr>
        <w:t xml:space="preserve">Zitiervorschlag: § 34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