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YUGStrGHG — Inkrafttreten</w:t>
      </w:r>
    </w:p>
    <w:p>
      <w:r>
        <w:rPr>
          <w:color w:val="555555"/>
          <w:sz w:val="18"/>
        </w:rPr>
        <w:t xml:space="preserve">Jugoslawien-Strafgerichtshof-Gesetz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Tage nach der Verkündung in Kraft.</w:t>
      </w:r>
    </w:p>
    <w:p>
      <w:r>
        <w:rPr>
          <w:color w:val="555555"/>
          <w:sz w:val="17"/>
        </w:rPr>
        <w:t xml:space="preserve">Zitiervorschlag: § 8 YUGStrGHG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https://recht.nulegal.eu/gesetze/YUGStrGHG/8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