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WvGeflpestMonV — Inkrafttreten</w:t>
      </w:r>
    </w:p>
    <w:p>
      <w:r>
        <w:rPr>
          <w:color w:val="555555"/>
          <w:sz w:val="18"/>
        </w:rPr>
        <w:t xml:space="preserve">Wildvogel-Geflügelpest-Monitoring-Verordnung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WvGeflpestMonV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https://recht.nulegal.eu/gesetze/WvGeflpestMonV/3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