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WvGeflpestMonV — Duldungs- und Mitwirkungspflichten</w:t>
      </w:r>
    </w:p>
    <w:p>
      <w:r>
        <w:rPr>
          <w:color w:val="555555"/>
          <w:sz w:val="18"/>
        </w:rPr>
        <w:t xml:space="preserve">Wildvogel-Geflügelpest-Monitoring-Verordnung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Jagdausübungsberechtigte haben nach näherer Anweisung der zuständigen Behörde</w:t>
      </w:r>
    </w:p>
    <w:p>
      <w:pPr>
        <w:ind w:left="420"/>
      </w:pPr>
      <w:r>
        <w:t xml:space="preserve">1. Proben nach Anlage 1 Teil 1 von im Rahmen der Ausübung der Jagd erlegten Wildvögeln zu entnehmen und</w:t>
      </w:r>
    </w:p>
    <w:p>
      <w:pPr>
        <w:ind w:left="420"/>
      </w:pPr>
      <w:r>
        <w:t xml:space="preserve">2. der von der zuständigen Behörde bestimmten Untersuchungseinrichtung zur virologischen Untersuchung auf das Virus zuzuleiten.</w:t>
      </w:r>
    </w:p>
    <w:p>
      <w:r>
        <w:rPr>
          <w:color w:val="555555"/>
          <w:sz w:val="17"/>
        </w:rPr>
        <w:t xml:space="preserve">Zitiervorschlag: § 2 WvGeflpestMonV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https://recht.nulegal.eu/gesetze/WvGeflpestMonV/2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