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WupperVG - (Nordrhein-Westfalen) — Zulässigkeit der Enteignung</w:t>
      </w:r>
    </w:p>
    <w:p>
      <w:r>
        <w:rPr>
          <w:color w:val="555555"/>
          <w:sz w:val="18"/>
        </w:rPr>
        <w:t xml:space="preserve">Wupperverbandsgesetz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Für die Durchführung von Verbandsaufgaben ist, soweit erforderlich, die Enteignung zulässig. Das Landesenteignungs- und -entschädigungsgesetz ist anzuwenden.</w:t>
      </w:r>
    </w:p>
    <w:p>
      <w:r>
        <w:t xml:space="preserve">Fünfter Teil</w:t>
      </w:r>
    </w:p>
    <w:p>
      <w:r>
        <w:t xml:space="preserve">Innere Verfassung</w:t>
      </w:r>
    </w:p>
    <w:p>
      <w:r>
        <w:rPr>
          <w:color w:val="555555"/>
          <w:sz w:val="17"/>
        </w:rPr>
        <w:t xml:space="preserve">Zitiervorschlag: § 9 WupperVG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https://recht.nulegal.eu/gesetze/WupperVG%20-/9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