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WupperVG - (Nordrhein-Westfalen) — Über- und außerplanmäßige Ausgaben</w:t>
      </w:r>
    </w:p>
    <w:p>
      <w:r>
        <w:rPr>
          <w:color w:val="555555"/>
          <w:sz w:val="18"/>
        </w:rPr>
        <w:t xml:space="preserve">Wupperverbandsgesetz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Überplanmäßige und außerplanmäßige Ausgaben dürfen nur in Fällen eines unvorhergesehenen und unabweisbaren Bedürfnisses geleistet werden. Die Deckung im laufenden Haushalt muß gewährleistet sein.</w:t>
      </w:r>
    </w:p>
    <w:p>
      <w:r>
        <w:t xml:space="preserve">(2) Ausgaben nach Absatz 1 sind zusammen mit einem Deckungsvorschlag in der nächsten Sitzung dem Verbandsrat zum Zwecke der Entlastung des Vorstandes zur Genehmigung vorzulegen.</w:t>
      </w:r>
    </w:p>
    <w:p>
      <w:r>
        <w:rPr>
          <w:color w:val="555555"/>
          <w:sz w:val="17"/>
        </w:rPr>
        <w:t xml:space="preserve">Zitiervorschlag: § 23 WupperVG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https://recht.nulegal.eu/gesetze/WupperVG%20-/23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