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WupperVG - (Nordrhein-Westfalen) — Sitzungen der Verbandsversammlung, Beschlußfassung</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lädt die Delegierten (§ 12 Abs. 1) unter Angabe der Tagesordnung mit mindestens dreiwöchiger Frist zu den Sitzungen und unterrichtet die Mitglieder des Verbandsrates, den Vorstand und die Geschäftsbereichsleiterinnen und -leiter.</w:t>
      </w:r>
    </w:p>
    <w:p>
      <w:r>
        <w:t xml:space="preserve">(2) Die Verbandsversammlung ist jährlich mindestens einmal einzuberufen. Sie ist grundsätzlich öffentlich; das Nähere regelt die Satzung. Sie ist ferner einzuberufen, wenn dies bei der oder dem Vorsitzenden des Verbandsrates</w:t>
      </w:r>
    </w:p>
    <w:p>
      <w:r>
        <w:t xml:space="preserve">a) vom Vorstand oder</w:t>
      </w:r>
    </w:p>
    <w:p>
      <w:r>
        <w:t xml:space="preserve">b) von mindestens einem Drittel der Delegierten</w:t>
      </w:r>
    </w:p>
    <w:p>
      <w:r>
        <w:t xml:space="preserve">schriftlich oder elektronisch unter Angabe des Beratungsgegenstandes beantragt wird.</w:t>
      </w:r>
    </w:p>
    <w:p>
      <w:r>
        <w:t xml:space="preserve">(3) Die oder der Vorsitzende des Verbandsrates leitet die Sitzungen der Verbandsversammlung. Die weiteren Mitglieder des Verbandsrates, der Vorstand und die Geschäftsbereichsleiterinnen oder Geschäftsbereichsleiter sollen an den Sitzungen teilnehmen. Die Mitglieder des Verbandsrates, der Vorstand und die Geschäftsbereichsleiterinnen oder Geschäftsbereichsleiter sind nicht stimmberechtigt.</w:t>
      </w:r>
    </w:p>
    <w:p>
      <w:r>
        <w:t xml:space="preserve">(4) Die Verbandsversammlung ist beschlußfähig, wenn alle Delegierten rechtzeitig geladen sind und mindestens die Hälfte aller Delegierten anwesend ist. Bei Beschlußunfähigkeit kann die oder der Vorsitzende eine neue Sitzung anberaumen, in der die Verbandsversammlung bei gleicher Tagesordnung ohne Rücksicht auf die Zahl der anwesenden Delegierten beschlußfähig ist. Hierauf muß in der Ladung hingewiesen werden.</w:t>
      </w:r>
    </w:p>
    <w:p>
      <w:r>
        <w:t xml:space="preserve">(5) Der Beschlußfähigkeit steht nicht entgegen, daß für vorzeitig ausgeschiedene Delegierte noch keine Ersatzwahl oder Ersatzberufung vorgenommen wurde.</w:t>
      </w:r>
    </w:p>
    <w:p>
      <w:r>
        <w:t xml:space="preserve">(6) Die Verbandsversammlung bildet ihren Willen mit der Mehrheit der abgegebenen gültigen Stimmen. Bei Beschlüssen und Wahlen zählen Stimmenthaltungen und ungültige Stimmen zur Feststellung der Beschlußfähigkeit, nicht aber zur Berechnung der Mehrheit mit. Stimmengleichheit bedeutet Ablehnung.</w:t>
      </w:r>
    </w:p>
    <w:p>
      <w:r>
        <w:t xml:space="preserve">(7) Über die Sitzungen der Verbandsversammlung sind Niederschriften zu fertigen. Beschlüsse sind besonders zu kennzeichnen. Die Niederschriften sind von der oder dem Vorsitzenden des Verbandsrates und von einer oder einem von der Verbandsversammlung zu bestimmenden Delegierten zu unterzeichnen.</w:t>
      </w:r>
    </w:p>
    <w:p>
      <w:r>
        <w:t xml:space="preserve">(8) Je eine Vertreterin oder ein Vertreter der im Verbandsgebiet zuständigen Bezirksregierungen kann mit beratender Stimme an den Sitzungen der Verbandsversammlung teilnehmen. Eine gemeinsame Vertreterin oder ein gemeinsamer Vertreter der anerkannten Naturschutzvereinigungen, die im Sinne des § 63 des Bundesnaturschutzgesetzes vom 29. Juli 2009 (BGBl. I S. 2542), das zuletzt durch Artikel 421 der Verordnung vom 31. August 2015 (BGBl. I S. 1474) geändert worden ist, nach ihrer Satzung landesweit tätig sind, kann mit beratender Stimme an den öffentlichen Sitzungen der Verbandsversammlung teilnehmen.</w:t>
      </w:r>
    </w:p>
    <w:p>
      <w:r>
        <w:t xml:space="preserve">(9) Die Vertreterinnen oder Vertreter nach Absatz 8 werden zum selben Zeitpunkt und im selben Umfang für die Sitzungen unterrichtet wie die Delegierten.</w:t>
      </w:r>
    </w:p>
    <w:p>
      <w:r>
        <w:t xml:space="preserve">(10) Die Mitglieder, die ausschließlich durch Delegierte nach § 12 Abs. 3 vertreten werden, können als Zuhörer an den Sitzungen der Verbandsversammlung teilnehmen. Ort, Zeitpunkt und Tagesordnung sind mindestens drei Wochen vor der Sitzung den Mitgliedern bekanntzumachen.</w:t>
      </w:r>
    </w:p>
    <w:p>
      <w:r>
        <w:t xml:space="preserve">(11) Ist eine epidemische Lage von landesweiter Tragweite nach § 11 des Infektionsschutz- und Befugnisgesetzes NRW festgestellt, kann die oder der Vorsitzende des Verbandsrates auf Antrag des Vorstandes entscheiden, dass die Verbandsversammlung ohne physische Präsenz der Delegierten oder der in Absatz 8 genannten Vertreterinnen und Vertreter als virtuelle Verbandsversammlung abgehalten wird, sofern</w:t>
      </w:r>
    </w:p>
    <w:p>
      <w:r>
        <w:t xml:space="preserve">1. die Bild- und Tonübertragung der gesamten Versammlung erfolgt,</w:t>
      </w:r>
    </w:p>
    <w:p>
      <w:r>
        <w:t xml:space="preserve">2. die Stimmrechtsausübung der Delegierten über elektronische Kommunikation gesichert ist und</w:t>
      </w:r>
    </w:p>
    <w:p>
      <w:r>
        <w:t xml:space="preserve">3. den Delegierten eine Fragemöglichkeit im Wege der elektronischen Kommunikation eingeräumt wird.</w:t>
      </w:r>
    </w:p>
    <w:p>
      <w:r>
        <w:t xml:space="preserve">Die Bestimmungen in den Absätzen 1 und 3 bis 10 gelten für die virtuelle Verbandsversammlung entsprechend. Die Beteiligung der Öffentlichkeit erfolgt gemäß Satz 1 Nummer 1. Näheres regelt die Satzung.</w:t>
      </w:r>
    </w:p>
    <w:p>
      <w:r>
        <w:t xml:space="preserve">(12) Unter den Voraussetzungen des Absatzes 11 kann die oder der Vorsitzende des Verbandsrates auf Antrag des Vorstands statt der Einberufung einer virtuellen Verbandsversammlung auch eine Beschlussfassung der Verbandsversammlung oder Wahlen der Delegierten im Umlaufverfahren herbeiführen, wenn sich mindestens die Hälfte der Delegierten mit der schriftlichen oder elektronischen Abgabe der Stimmen einverstanden erklärt. Die Stimmabgabe erfolgt auf schriftlichem oder elektronischem Wege. Für das Umlaufverfahren gelten die Bestimmungen in den Absätzen 4 bis 6 entsprechend.</w:t>
      </w:r>
    </w:p>
    <w:p>
      <w:r>
        <w:rPr>
          <w:color w:val="555555"/>
          <w:sz w:val="17"/>
        </w:rPr>
        <w:t xml:space="preserve">Zitiervorschlag: § 15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