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WuSolvV — (zu § 5 Absatz 1) EUEBW Anforderungen an die Eigenkapitalausstattung von Wohnungsunternehmen mit Spareinrichtung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4262 - 4263)</w:t>
      </w:r>
    </w:p>
    <w:p>
      <w:r>
        <w:rPr>
          <w:rFonts w:ascii="Courier New" w:hAnsi="Courier New"/>
          <w:sz w:val="17"/>
        </w:rPr>
        <w:t xml:space="preserve">        Betrag/Kennziffer</w:t>
      </w:r>
    </w:p>
    <w:p>
      <w:r>
        <w:rPr>
          <w:rFonts w:ascii="Courier New" w:hAnsi="Courier New"/>
          <w:sz w:val="17"/>
        </w:rPr>
        <w:t xml:space="preserve">        01</w:t>
      </w:r>
    </w:p>
    <w:p>
      <w:r>
        <w:rPr>
          <w:rFonts w:ascii="Courier New" w:hAnsi="Courier New"/>
          <w:sz w:val="17"/>
        </w:rPr>
        <w:t xml:space="preserve">1. Ermittlung des haftenden Eigenkapitals        </w:t>
      </w:r>
    </w:p>
    <w:p>
      <w:r>
        <w:rPr>
          <w:rFonts w:ascii="Courier New" w:hAnsi="Courier New"/>
          <w:sz w:val="17"/>
        </w:rPr>
        <w:t xml:space="preserve">Geschäftsguthaben    0010    </w:t>
      </w:r>
    </w:p>
    <w:p>
      <w:r>
        <w:rPr>
          <w:rFonts w:ascii="Courier New" w:hAnsi="Courier New"/>
          <w:sz w:val="17"/>
        </w:rPr>
        <w:t xml:space="preserve">Rücklagen    0020    </w:t>
      </w:r>
    </w:p>
    <w:p>
      <w:r>
        <w:rPr>
          <w:rFonts w:ascii="Courier New" w:hAnsi="Courier New"/>
          <w:sz w:val="17"/>
        </w:rPr>
        <w:t xml:space="preserve">nachrichtlich:darunter Rücklagen nach § 51a Absatz 7 Satz 2 KWG    0030    </w:t>
      </w:r>
    </w:p>
    <w:p>
      <w:r>
        <w:rPr>
          <w:rFonts w:ascii="Courier New" w:hAnsi="Courier New"/>
          <w:sz w:val="17"/>
        </w:rPr>
        <w:t xml:space="preserve">(-) Geschäftsguthaben und andere Ansprüche der ausscheidenden Mitglieder, die zu Auszahlungen führen (§ 51a Absatz 6 Satz 1 Nummer 1 KWG)    0040    </w:t>
      </w:r>
    </w:p>
    <w:p>
      <w:r>
        <w:rPr>
          <w:rFonts w:ascii="Courier New" w:hAnsi="Courier New"/>
          <w:sz w:val="17"/>
        </w:rPr>
        <w:t xml:space="preserve">Bilanzgewinn (§ 51a Absatz 6 Satz 1 Nummer 2 KWG)    0050    </w:t>
      </w:r>
    </w:p>
    <w:p>
      <w:r>
        <w:rPr>
          <w:rFonts w:ascii="Courier New" w:hAnsi="Courier New"/>
          <w:sz w:val="17"/>
        </w:rPr>
        <w:t xml:space="preserve">(-) Bilanzverlust (§ 51a Absatz 6 Satz 2 Nummer 1 KWG)    0060    </w:t>
      </w:r>
    </w:p>
    <w:p>
      <w:r>
        <w:rPr>
          <w:rFonts w:ascii="Courier New" w:hAnsi="Courier New"/>
          <w:sz w:val="17"/>
        </w:rPr>
        <w:t xml:space="preserve">(-) immaterielle Vermögensgegenstände (§ 51a Absatz 6 Satz 2 Nummer 2 KWG)    0070    </w:t>
      </w:r>
    </w:p>
    <w:p>
      <w:r>
        <w:rPr>
          <w:rFonts w:ascii="Courier New" w:hAnsi="Courier New"/>
          <w:sz w:val="17"/>
        </w:rPr>
        <w:t xml:space="preserve">(-) Korrekturposten (§ 51a Absatz 9 KWG)    0080    </w:t>
      </w:r>
    </w:p>
    <w:p>
      <w:r>
        <w:rPr>
          <w:rFonts w:ascii="Courier New" w:hAnsi="Courier New"/>
          <w:sz w:val="17"/>
        </w:rPr>
        <w:t xml:space="preserve">(-) Abzugsbetrag betreffend Verbriefungspositionen nach § 51a Absatz 6 Satz 2 Nummer 4 KWG    0090    </w:t>
      </w:r>
    </w:p>
    <w:p>
      <w:r>
        <w:rPr>
          <w:rFonts w:ascii="Courier New" w:hAnsi="Courier New"/>
          <w:sz w:val="17"/>
        </w:rPr>
        <w:t xml:space="preserve">Gewinne aus Zwischenabschluss nach § 51a Absatz 8 Satz 1 KWG    0100    </w:t>
      </w:r>
    </w:p>
    <w:p>
      <w:r>
        <w:rPr>
          <w:rFonts w:ascii="Courier New" w:hAnsi="Courier New"/>
          <w:sz w:val="17"/>
        </w:rPr>
        <w:t xml:space="preserve">(-) Verluste aus Zwischenabschluss nach § 51a Absatz 8 Satz 2 KWG    0110    </w:t>
      </w:r>
    </w:p>
    <w:p>
      <w:r>
        <w:rPr>
          <w:rFonts w:ascii="Courier New" w:hAnsi="Courier New"/>
          <w:sz w:val="17"/>
        </w:rPr>
        <w:t xml:space="preserve">Anrechenbares Eigenkapital    0120    </w:t>
      </w:r>
    </w:p>
    <w:p>
      <w:r>
        <w:rPr>
          <w:rFonts w:ascii="Courier New" w:hAnsi="Courier New"/>
          <w:sz w:val="17"/>
        </w:rPr>
        <w:t xml:space="preserve">nachrichtlich:darunter Eigenkapital nach § 51a Absatz 5 KWG    0130    </w:t>
      </w:r>
    </w:p>
    <w:p>
      <w:r>
        <w:rPr>
          <w:rFonts w:ascii="Courier New" w:hAnsi="Courier New"/>
          <w:sz w:val="17"/>
        </w:rPr>
        <w:t xml:space="preserve">2. Anrechnungspflichtige Positionen        </w:t>
      </w:r>
    </w:p>
    <w:p>
      <w:r>
        <w:rPr>
          <w:rFonts w:ascii="Courier New" w:hAnsi="Courier New"/>
          <w:sz w:val="17"/>
        </w:rPr>
        <w:t xml:space="preserve">Summe aus dem Gesamtanrechnungsbetrag für Adressrisiken und dem Gesamtanrechnungsbetrag für Abwicklungsrisiken (§§ 13 bis 15)    0140    </w:t>
      </w:r>
    </w:p>
    <w:p>
      <w:r>
        <w:rPr>
          <w:rFonts w:ascii="Courier New" w:hAnsi="Courier New"/>
          <w:sz w:val="17"/>
        </w:rPr>
        <w:t xml:space="preserve">nachrichtlich:darunter Anrechnungsbeträge betreffend        </w:t>
      </w:r>
    </w:p>
    <w:p>
      <w:r>
        <w:rPr>
          <w:rFonts w:ascii="Courier New" w:hAnsi="Courier New"/>
          <w:sz w:val="17"/>
        </w:rPr>
        <w:t xml:space="preserve">Forderungsklasse Zentralregierungen    0150    </w:t>
      </w:r>
    </w:p>
    <w:p>
      <w:r>
        <w:rPr>
          <w:rFonts w:ascii="Courier New" w:hAnsi="Courier New"/>
          <w:sz w:val="17"/>
        </w:rPr>
        <w:t xml:space="preserve">Forderungsklasse Regionalregierungen und örtliche Gebietskörperschaften    0160    </w:t>
      </w:r>
    </w:p>
    <w:p>
      <w:r>
        <w:rPr>
          <w:rFonts w:ascii="Courier New" w:hAnsi="Courier New"/>
          <w:sz w:val="17"/>
        </w:rPr>
        <w:t xml:space="preserve">Forderungsklasse sonstige öffentliche Stellen    0170    </w:t>
      </w:r>
    </w:p>
    <w:p>
      <w:r>
        <w:rPr>
          <w:rFonts w:ascii="Courier New" w:hAnsi="Courier New"/>
          <w:sz w:val="17"/>
        </w:rPr>
        <w:t xml:space="preserve">Forderungsklasse multilaterale Entwicklungsbanken    0180    </w:t>
      </w:r>
    </w:p>
    <w:p>
      <w:r>
        <w:rPr>
          <w:rFonts w:ascii="Courier New" w:hAnsi="Courier New"/>
          <w:sz w:val="17"/>
        </w:rPr>
        <w:t xml:space="preserve">Forderungsklasse internationale Organisationen    0190    </w:t>
      </w:r>
    </w:p>
    <w:p>
      <w:r>
        <w:rPr>
          <w:rFonts w:ascii="Courier New" w:hAnsi="Courier New"/>
          <w:sz w:val="17"/>
        </w:rPr>
        <w:t xml:space="preserve">Forderungsklasse Institute    0200    </w:t>
      </w:r>
    </w:p>
    <w:p>
      <w:r>
        <w:rPr>
          <w:rFonts w:ascii="Courier New" w:hAnsi="Courier New"/>
          <w:sz w:val="17"/>
        </w:rPr>
        <w:t xml:space="preserve">Forderungsklasse von Kreditinstituten emittierte gedeckte Schuldverschreibungen    0210    </w:t>
      </w:r>
    </w:p>
    <w:p>
      <w:r>
        <w:rPr>
          <w:rFonts w:ascii="Courier New" w:hAnsi="Courier New"/>
          <w:sz w:val="17"/>
        </w:rPr>
        <w:t xml:space="preserve">Forderungsklasse Unternehmen    0220    </w:t>
      </w:r>
    </w:p>
    <w:p>
      <w:r>
        <w:rPr>
          <w:rFonts w:ascii="Courier New" w:hAnsi="Courier New"/>
          <w:sz w:val="17"/>
        </w:rPr>
        <w:t xml:space="preserve">Forderungsklasse Mengengeschäft    0230    </w:t>
      </w:r>
    </w:p>
    <w:p>
      <w:r>
        <w:rPr>
          <w:rFonts w:ascii="Courier New" w:hAnsi="Courier New"/>
          <w:sz w:val="17"/>
        </w:rPr>
        <w:t xml:space="preserve">Forderungsklasse Investmentanteile    0240    </w:t>
      </w:r>
    </w:p>
    <w:p>
      <w:r>
        <w:rPr>
          <w:rFonts w:ascii="Courier New" w:hAnsi="Courier New"/>
          <w:sz w:val="17"/>
        </w:rPr>
        <w:t xml:space="preserve">Forderungsklasse Beteiligungen    0250    </w:t>
      </w:r>
    </w:p>
    <w:p>
      <w:r>
        <w:rPr>
          <w:rFonts w:ascii="Courier New" w:hAnsi="Courier New"/>
          <w:sz w:val="17"/>
        </w:rPr>
        <w:t xml:space="preserve">Forderungsklasse Verbriefungen    0260    </w:t>
      </w:r>
    </w:p>
    <w:p>
      <w:r>
        <w:rPr>
          <w:rFonts w:ascii="Courier New" w:hAnsi="Courier New"/>
          <w:sz w:val="17"/>
        </w:rPr>
        <w:t xml:space="preserve">Forderungsklasse sonstige Positionen    0270    </w:t>
      </w:r>
    </w:p>
    <w:p>
      <w:r>
        <w:rPr>
          <w:rFonts w:ascii="Courier New" w:hAnsi="Courier New"/>
          <w:sz w:val="17"/>
        </w:rPr>
        <w:t xml:space="preserve">Forderungsklasse überfällige Positionen    0280    </w:t>
      </w:r>
    </w:p>
    <w:p>
      <w:r>
        <w:rPr>
          <w:rFonts w:ascii="Courier New" w:hAnsi="Courier New"/>
          <w:sz w:val="17"/>
        </w:rPr>
        <w:t xml:space="preserve">Gesamtanrechnungsbetrag für Abwicklungsrisiken nach § 15    0290    </w:t>
      </w:r>
    </w:p>
    <w:p>
      <w:r>
        <w:rPr>
          <w:rFonts w:ascii="Courier New" w:hAnsi="Courier New"/>
          <w:sz w:val="17"/>
        </w:rPr>
        <w:t xml:space="preserve">Anrechnungsbetrag für operationelle Risiken (§ 59 bis § 61)    0300    </w:t>
      </w:r>
    </w:p>
    <w:p>
      <w:r>
        <w:rPr>
          <w:rFonts w:ascii="Courier New" w:hAnsi="Courier New"/>
          <w:sz w:val="17"/>
        </w:rPr>
        <w:t xml:space="preserve">Summe der Anrechnungsbeträge für Marktrisikopositionen einschließlich Optionsgeschäfte    0310    </w:t>
      </w:r>
    </w:p>
    <w:p>
      <w:r>
        <w:rPr>
          <w:rFonts w:ascii="Courier New" w:hAnsi="Courier New"/>
          <w:sz w:val="17"/>
        </w:rPr>
        <w:t xml:space="preserve">nachrichtlich:darunter Anrechnungsbeträge betreffend        </w:t>
      </w:r>
    </w:p>
    <w:p>
      <w:r>
        <w:rPr>
          <w:rFonts w:ascii="Courier New" w:hAnsi="Courier New"/>
          <w:sz w:val="17"/>
        </w:rPr>
        <w:t xml:space="preserve">Währungsgesamtposition    0320    </w:t>
      </w:r>
    </w:p>
    <w:p>
      <w:r>
        <w:rPr>
          <w:rFonts w:ascii="Courier New" w:hAnsi="Courier New"/>
          <w:sz w:val="17"/>
        </w:rPr>
        <w:t xml:space="preserve">Rohwarenposition    0330    </w:t>
      </w:r>
    </w:p>
    <w:p>
      <w:r>
        <w:rPr>
          <w:rFonts w:ascii="Courier New" w:hAnsi="Courier New"/>
          <w:sz w:val="17"/>
        </w:rPr>
        <w:t xml:space="preserve">Andere Marktrisikopositionen (§ 67 Absatz 4)    0340    </w:t>
      </w:r>
    </w:p>
    <w:p>
      <w:r>
        <w:rPr>
          <w:rFonts w:ascii="Courier New" w:hAnsi="Courier New"/>
          <w:sz w:val="17"/>
        </w:rPr>
        <w:t xml:space="preserve">Anrechnungsbeträge insgesamt(Summe aus den Zeilen 0140, 0300 und 0310)    0350    </w:t>
      </w:r>
    </w:p>
    <w:p>
      <w:r>
        <w:rPr>
          <w:rFonts w:ascii="Courier New" w:hAnsi="Courier New"/>
          <w:sz w:val="17"/>
        </w:rPr>
        <w:t xml:space="preserve">Eigenkapitalanforderungen nach § 51a Absatz 2 KWG[2]    0360    </w:t>
      </w:r>
    </w:p>
    <w:p>
      <w:r>
        <w:rPr>
          <w:rFonts w:ascii="Courier New" w:hAnsi="Courier New"/>
          <w:sz w:val="17"/>
        </w:rPr>
        <w:t xml:space="preserve">nachrichtlich: Fremdwährungsrisikopositionen nach § 3 Absatz 6 Satz 1 in Verbindung mit Satz 4    0370    </w:t>
      </w:r>
    </w:p>
    <w:p>
      <w:r>
        <w:rPr>
          <w:rFonts w:ascii="Courier New" w:hAnsi="Courier New"/>
          <w:sz w:val="17"/>
        </w:rPr>
        <w:t xml:space="preserve">3. Nachweis der Erfüllung der Anforderung nach § 2 Absatz 2 sowie der Ermittlung der Gesamtkennziffer nach § 2 Absatz 4        </w:t>
      </w:r>
    </w:p>
    <w:p>
      <w:r>
        <w:rPr>
          <w:rFonts w:ascii="Courier New" w:hAnsi="Courier New"/>
          <w:sz w:val="17"/>
        </w:rPr>
        <w:t xml:space="preserve">Anrechenbares Eigenkapital    0380    </w:t>
      </w:r>
    </w:p>
    <w:p>
      <w:r>
        <w:rPr>
          <w:rFonts w:ascii="Courier New" w:hAnsi="Courier New"/>
          <w:sz w:val="17"/>
        </w:rPr>
        <w:t xml:space="preserve">Summe aus dem Gesamtanrechnungsbetrag für Adressrisiken, dem Anrechnungsbetrag für operationelle Risiken und der Summe der Anrechnungsbeträge für Marktrisikopositionen einschließlich der Optionsgeschäfte    0390    </w:t>
      </w:r>
    </w:p>
    <w:p>
      <w:r>
        <w:rPr>
          <w:rFonts w:ascii="Courier New" w:hAnsi="Courier New"/>
          <w:sz w:val="17"/>
        </w:rPr>
        <w:t xml:space="preserve">Nachweis der Anforderung nach § 2 Absatz 2 Anrechenbares Eigenkapital nach Abzug der Summe aus dem Gesamtanrechnungsbetrag für Adressrisiken, dem Anrechnungsbetrag für operationelle Risiken und der Summe der Anrechnungsbeträge für Marktrisikopositionen einschließlich der Optionsgeschäfte    0400    </w:t>
      </w:r>
    </w:p>
    <w:p>
      <w:r>
        <w:rPr>
          <w:rFonts w:ascii="Courier New" w:hAnsi="Courier New"/>
          <w:sz w:val="17"/>
        </w:rPr>
        <w:t xml:space="preserve">Gesamtkennziffer gemäß § 2 Absatz 4 (0380/(0390*12,5))    0410    </w:t>
      </w:r>
    </w:p>
    <w:p>
      <w:r>
        <w:t xml:space="preserve">______________</w:t>
      </w:r>
    </w:p>
    <w:p>
      <w:r>
        <w:t xml:space="preserve">2 Sofern Eigenkapitalanforderungen nach § 51a Absatz 2 KWG angeordnet wurden, ermittelt sich</w:t>
      </w:r>
    </w:p>
    <w:p>
      <w:pPr>
        <w:ind w:left="420"/>
      </w:pPr>
      <w:r>
        <w:t xml:space="preserve">a) der Nachweis der Anforderung nach § 2 Absatz 2 in Zeile 0400 als die Differenz zwischen dem anrechenbaren Eigenkapital und den in Zeile 0360 ausgewiesenen Eigenkapitalanforderungen und</w:t>
      </w:r>
    </w:p>
    <w:p>
      <w:pPr>
        <w:ind w:left="420"/>
      </w:pPr>
      <w:r>
        <w:t xml:space="preserve">b) die in Zeile 0410 auszuweisende Gesamtkennziffer wie folgt: (0380/(0360*12,5)).</w:t>
      </w:r>
    </w:p>
    <w:p>
      <w:r>
        <w:rPr>
          <w:color w:val="555555"/>
          <w:sz w:val="17"/>
        </w:rPr>
        <w:t xml:space="preserve">Zitiervorschlag: Anlage 2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WuSolvV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