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WuSolvV — Derivative Adressenausfallrisikopositionen</w:t>
      </w:r>
    </w:p>
    <w:p>
      <w:r>
        <w:rPr>
          <w:color w:val="555555"/>
          <w:sz w:val="18"/>
        </w:rPr>
        <w:t xml:space="preserve">Wohnungsunternehmen-Solvabilitätsverordnung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Derivative Adressenausfallrisikopositionen sind Derivate nach § 19 Absatz 1a des Kreditwesengesetzes mit Ausnahme von Stillhalterverpflichtungen aus Optionen.</w:t>
      </w:r>
    </w:p>
    <w:p>
      <w:r>
        <w:rPr>
          <w:color w:val="555555"/>
          <w:sz w:val="17"/>
        </w:rPr>
        <w:t xml:space="preserve">Zitiervorschlag: § 9 WuSolvV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https://recht.nulegal.eu/gesetze/WuSolvV/9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