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WuSolvV — Bilanzielle Adressenausfallrisikopositionen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 den bilanziellen Adressenausfallrisikopositionen gehören</w:t>
      </w:r>
    </w:p>
    <w:p>
      <w:pPr>
        <w:ind w:left="420"/>
      </w:pPr>
      <w:r>
        <w:t xml:space="preserve">1. Bilanzaktiva im Sinne von § 19 Absatz 1 Satz 2 Nummer 1 bis 8 des Kreditwesengesetzes mit Ausnahme der beim Pensionsnehmer oder Darlehensnehmer bilanzierten Wertpapiere oder Waren im Falle von sich darauf beziehenden Pensions- und Darlehensgeschäften,</w:t>
      </w:r>
    </w:p>
    <w:p>
      <w:pPr>
        <w:ind w:left="420"/>
      </w:pPr>
      <w:r>
        <w:t xml:space="preserve">2. Sachanlagen und sonstige Vermögensgegenstände,</w:t>
      </w:r>
    </w:p>
    <w:p>
      <w:pPr>
        <w:ind w:left="420"/>
      </w:pPr>
      <w:r>
        <w:t xml:space="preserve">3. aktivische Rechnungsabgrenzungsposten, wenn sie nicht Ausgleichsposten für Verbindlichkeiten sind, die unter Nennwert ausgegeben wurden und zum Nennwert passiviert sind, und</w:t>
      </w:r>
    </w:p>
    <w:p>
      <w:pPr>
        <w:ind w:left="420"/>
      </w:pPr>
      <w:r>
        <w:t xml:space="preserve">4. die Positionen des Umlaufvermögens der zum Verkauf bestimmten Grundstücke und anderer Vorräte, mit Ausnahme der unfertigen Leistungen aus noch nicht mit den Mietern abgerechneten Betriebskosten.</w:t>
      </w:r>
    </w:p>
    <w:p>
      <w:r>
        <w:rPr>
          <w:color w:val="555555"/>
          <w:sz w:val="17"/>
        </w:rPr>
        <w:t xml:space="preserve">Zitiervorschlag: § 8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