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WuSolvV — Berechnung des Anrechnungsbetrags</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Der Anrechnungsbetrag für operationelle Risiken beträgt 15 Prozent des Dreijahresdurchschnitts des relevanten Indikators.</w:t>
      </w:r>
    </w:p>
    <w:p>
      <w:r>
        <w:t xml:space="preserve">(2) Der Dreijahresdurchschnitt des relevanten Indikators ist anhand der letzten drei Jahreswerte zum Ende des Geschäftsjahres des Wohnungsunternehmens mit Spareinrichtung zu bestimmen. Wenn keine durch Abschlussprüfer geprüften Werte vorliegen, können auch unternehmensinterne Schätzungen dieser Werte verwendet werden.</w:t>
      </w:r>
    </w:p>
    <w:p>
      <w:r>
        <w:t xml:space="preserve">(3) Bei der Bestimmung des Dreijahresdurchschnitts des relevanten Indikators sind nur Jahreswerte mit positivem Wert zu berücksichtigen. Der Dreijahresdurchschnitt des relevanten Indikators berechnet sich als Summe der positiven Jahreswerte geteilt durch die Anzahl der positiven Jahreswerte.</w:t>
      </w:r>
    </w:p>
    <w:p>
      <w:r>
        <w:rPr>
          <w:color w:val="555555"/>
          <w:sz w:val="17"/>
        </w:rPr>
        <w:t xml:space="preserve">Zitiervorschlag: § 60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