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WuSolvV — Maximaler risikogewichteter KSA-Positionswert einer KSA-Verbriefungstransaktion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Wohnungsunternehmen mit Spareinrichtung, die für eine KSA-Verbriefungstransaktion als Originatoren oder Sponsoren gelten, dürfen die Summe der risikogewichteten KSA-Positionswerte für sämtliche zu derselben KSA-Verbriefungstransaktion gehörenden Verbriefungspositionen nach Maßgabe von Absatz 2 auf die Summe der risikogewichteten Positionswerte für sämtliche Adressenausfallrisikopositionen des verbrieften Portfolios begrenzen.</w:t>
      </w:r>
    </w:p>
    <w:p>
      <w:r>
        <w:t xml:space="preserve">(2) Der von einem Originator für sämtliche Verbriefungspositionen nach § 47 Absatz 1 Satz 2 Nummer 1 und 2 aus derselben KSA-Verbriefungstransaktion insgesamt anzusetzende risikogewichtete KSA-Positionswert darf auf die Summe aus den risikogewichteten KSA-Positionswerten nach § 14 Absatz 2 und 3 aller KSA-Positionen des verbrieften Portfolios abzüglich des 12,5-fachen Abzugsbetrags nach § 58 für Verbriefungspositionen, soweit er auf die zu dieser KSA-Verbriefungstransaktion gehörenden Verbriefungspositionen entfällt, begrenzt werden. Dabei ist auf im verbrieften Portfolio enthaltene Adressenausfallrisikopositionen, die als Adressenausfallrisikopositionen des Wohnungsunternehmens mit Spareinrichtung der KSA-Forderungsklasse überfällige Positionen nach § 16 Absatz 15 zuzuordnen wären, stets ein KSA-Risikogewicht von 150 Prozent anzuwenden.</w:t>
      </w:r>
    </w:p>
    <w:p>
      <w:r>
        <w:rPr>
          <w:color w:val="555555"/>
          <w:sz w:val="17"/>
        </w:rPr>
        <w:t xml:space="preserve">Zitiervorschlag: § 57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