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WuSolvV — KSA-Verbriefungsrisikogewicht für Verbriefungspositionen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Das KSA-Verbriefungsrisikogewicht für eine Verbriefungsposition beträgt 1 250 Prozent.</w:t>
      </w:r>
    </w:p>
    <w:p>
      <w:r>
        <w:t xml:space="preserve">(2) Abweichend von Absatz 1 darf für eine Verbriefungsposition als KSA-Verbriefungsrisikogewicht das Produkt aus dem KSA-Durchschnittsrisikogewicht des verbrieften Portfolios dieser KSA-Verbriefungstransaktion nach Satz 2 und der Risikokonzentrationsrate nach Satz 3 zugrunde gelegt werden, wenn das Wohnungsunternehmen mit Spareinrichtung Zugang zu ausreichend aktuellen Informationen über die Zusammensetzung des der Verbriefungstransaktion zugrunde liegenden verbrieften Portfolios hat und dadurch in die Lage versetzt ist, das KSA-Durchschnittsrisikogewicht des verbrieften Portfolios der KSA-Verbriefungstransaktion zu ermitteln. Das KSA-Durchschnittsrisikogewicht des verbrieften Portfolios einer KSA-Verbriefungstransaktion ist das als Prozentsatz ausgedrückte Verhältnis der Summe der risikogewichteten KSA-Positionswerte zur Summe der KSA-Positionswerte für die Gesamtheit der im verbrieften Portfolio dieser KSA-Verbriefungstransaktion enthaltenen Adressenausfallrisikopositionen, wären diese KSA-Positionen des Wohnungsunternehmens mit Spareinrichtung. Die Risikokonzentrationsrate ist das Verhältnis der Summe der Nominalwerte aller Verbriefungstranchen zur Summe der Nominalwerte aller gleichrangigen und nachrangigen Verbriefungstranchen einschließlich der Verbriefungstranche, in der die Verbriefungsposition gehalten wird. Ist das nach Satz 1 für eine Verbriefungsposition zugrunde zu legende Risikogewicht niedriger als das KSA-Verbriefungsrisikogewicht für eine dieser Verbriefungsposition im Rang vorgehende Verbriefungstranche derselben Verbriefungstransaktion, für die eine maßgebliche Bonitätsbeurteilung vorliegt, ist das KSA-Verbriefungsrisikogewicht dieser Verbriefungstranche zugrunde zu legen. Das nach Satz 1 zugrunde zu legende KSA-Verbriefungsrisikogewicht ist auf 1 250 Prozent begrenzt.</w:t>
      </w:r>
    </w:p>
    <w:p>
      <w:r>
        <w:t xml:space="preserve">(3) Auf eine Verbriefungsposition aus einem ABCP-Programm, die</w:t>
      </w:r>
    </w:p>
    <w:p>
      <w:pPr>
        <w:ind w:left="420"/>
      </w:pPr>
      <w:r>
        <w:t xml:space="preserve">1. Teil einer Verbriefungstranche ist, die wirtschaftlich eine Zweitverlustposition oder weniger riskante Position einnimmt und dieser Verbriefungstranche Positionen in wesentlichem Umfang nachgeordnet sind,</w:t>
      </w:r>
    </w:p>
    <w:p>
      <w:pPr>
        <w:ind w:left="420"/>
      </w:pPr>
      <w:r>
        <w:t xml:space="preserve">2. eine Kreditqualität aufweist, die mindestens der Kreditqualität einer Verbriefungsposition entspricht, für die eine maßgebliche Bonitätsbeurteilung vorliegt, die aufsichtlich der Bonitätsstufe 3 oder einer niedrigeren Bonitätsstufe zugeordnet ist, und</w:t>
      </w:r>
    </w:p>
    <w:p>
      <w:pPr>
        <w:ind w:left="420"/>
      </w:pPr>
      <w:r>
        <w:t xml:space="preserve">3. von einem Wohnungsunternehmen mit Spareinrichtung, das nicht gleichzeitig einen Anteil an der Erstverlustposition hält, gehalten wird,</w:t>
      </w:r>
    </w:p>
    <w:p>
      <w:r>
        <w:t xml:space="preserve">darf abweichend von Absatz 1 das höchste KSA-Risikogewicht angewendet werden, das für eine im verbrieften Portfolio enthaltene Adressenausfallrisikoposition als KSA-Position anzuwenden wäre, mindestens jedoch ein Risikogewicht von 100 Prozent. Als Erstverlustposition nach Satz 1 Nummer 3 gilt jede Verbriefungstranche, auf die ein KSA-Verbriefungsrisikogewicht von 1 250 Prozent anzuwenden ist oder die nach § 58 als abzuziehende Verbriefungspositionen berücksichtigt wird.</w:t>
      </w:r>
    </w:p>
    <w:p>
      <w:r>
        <w:rPr>
          <w:color w:val="555555"/>
          <w:sz w:val="17"/>
        </w:rPr>
        <w:t xml:space="preserve">Zitiervorschlag: § 56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