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WuSolvV — Risikogewichteter KSA-Positionswert einer Verbriefungsposition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risikogewichtete KSA-Positionswert einer Verbriefungsposition ist als das Produkt aus ihrem KSA-Positionswert und ihrem KSA-Verbriefungsrisikogewicht zu ermitteln.</w:t>
      </w:r>
    </w:p>
    <w:p>
      <w:r>
        <w:t xml:space="preserve">(2) Wenn ein Wohnungsunternehmen mit Spareinrichtung mehrere Verbriefungspositionen an derselben KSA-Verbriefungstransaktion hält, für die vertraglich sichergestellt ist, dass nicht mehr als eine dieser Verbriefungspositionen dieselben Verluste aus dem durch diese KSA-Verbriefungstransaktion verbrieften Portfolio erleiden kann, sind die Verbriefungspositionen, soweit sie sich überschneiden, bei der Ermittlung des risikogewichteten KSA-Positionswertes nur mit derjenigen Verbriefungsposition zu berücksichtigen, die den höchsten risikogewichteten KSA-Positionswert aufweist.</w:t>
      </w:r>
    </w:p>
    <w:p>
      <w:r>
        <w:rPr>
          <w:color w:val="555555"/>
          <w:sz w:val="17"/>
        </w:rPr>
        <w:t xml:space="preserve">Zitiervorschlag: § 55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