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WuSolvV — KSA-Positionswert einer Verbriefungsposition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KSA-Positionswert einer Verbriefungsposition ist das Produkt aus ihrer KSA-Bemessungsgrundlage und ihrem KSA-Konversionsfaktor nach Absatz 2.</w:t>
      </w:r>
    </w:p>
    <w:p>
      <w:r>
        <w:t xml:space="preserve">(2) Der KSA-Konversionsfaktor einer Verbriefungsposition beträgt 100 Prozent.</w:t>
      </w:r>
    </w:p>
    <w:p>
      <w:r>
        <w:rPr>
          <w:color w:val="555555"/>
          <w:sz w:val="17"/>
        </w:rPr>
        <w:t xml:space="preserve">Zitiervorschlag: § 54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