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WuSolvV — Sonstige Begriffsbestimmungen für Verbriefungen</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Eine Kreditverbesserung ist jede vertragliche Vereinbarung, die darauf gerichtet ist, die Kreditqualität des verbrieften Portfolios, einer Verbriefungstransaktion, einer Verbriefungstranche oder einer Verbriefungsposition zu erhöhen, insbesondere durch Nachordnung von Zahlungsansprüchen.</w:t>
      </w:r>
    </w:p>
    <w:p>
      <w:r>
        <w:t xml:space="preserve">(2) Eine Verbriefungszweckgesellschaft ist ein Unternehmen, dessen unbesicherte Zahlungsverpflichtungen als KSA-Position nicht der KSA-Forderungsklasse Institute zuzuordnen wären und das zu dem ausschließlichen Zweck der Durchführung einer oder mehrerer Verbriefungstransaktionen mit der Absicht errichtet wurde, die Verpflichtungen der Verbriefungszweckgesellschaft von denen des Originators zu isolieren und deren Anteilseigner das Recht haben, die mit ihrem Anteil an der Verbriefungszweckgesellschaft verbundenen Rechte uneingeschränkt zu verpfänden oder auszutauschen. Die Aktivitäten der Verbriefungszweckgesellschaft sind auf die Tätigkeiten begrenzt, die zur Erreichung des Zwecks erforderlich sind.</w:t>
      </w:r>
    </w:p>
    <w:p>
      <w:r>
        <w:t xml:space="preserve">(3) Eine Verbriefungs-Liquiditätsfazilität ist eine Verbriefungsposition, die aus der vertraglichen Verpflichtung entstanden ist, finanzielle Mittel zur Sicherstellung der termingerechten Weiterleitung von Zahlungen an Investoren bereitzustellen.</w:t>
      </w:r>
    </w:p>
    <w:p>
      <w:r>
        <w:t xml:space="preserve">(4) Eine Wiederverbriefung ist eine Verbriefungstransaktion, in deren verbrieftem Portfolio mindestens eine Verbriefungsposition enthalten ist.</w:t>
      </w:r>
    </w:p>
    <w:p>
      <w:r>
        <w:t xml:space="preserve">(5) Eine Wiederverbriefungsposition ist eine Verbriefungsposition in einer Wiederverbriefung. Die Bundesanstalt kann einzelne Verbriefungspositionen von der Einstufung als Wiederverbriefungspositionen ausnehmen, wenn dies aus besonderen Gründen, insbesondere wegen der Art und der Struktur der zugrunde liegenden Geschäfte, angezeigt ist. Die Ausnahme kann auf Antrag eines Wohnungsunternehmens mit Spareinrichtung oder von Amts wegen erfolgen.</w:t>
      </w:r>
    </w:p>
    <w:p>
      <w:r>
        <w:rPr>
          <w:color w:val="555555"/>
          <w:sz w:val="17"/>
        </w:rPr>
        <w:t xml:space="preserve">Zitiervorschlag: § 50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