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WuSolvV — Meldungen zur Eigenkapitalausstattung</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Wohnungsunternehmen mit Spareinrichtung haben der Deutschen Bundesbank zu den Anforderungen nach § 2 Absatz 2 und 4 nach dem Stand zum Ende eines Kalenderjahres (Meldestichtag) Meldungen mit Anlage 2 jeweils bis zum letzten Geschäftstag des auf den Meldestichtag folgenden Kalendervierteljahres einzureichen. Auf Antrag des Wohnungsunternehmens mit Spareinrichtung kann die Bundesanstalt die Frist nach Satz 1 verlängern.</w:t>
      </w:r>
    </w:p>
    <w:p>
      <w:r>
        <w:t xml:space="preserve">(2) Die Meldungen nach Absatz 1 sind im elektronischen Verfahren einzureichen. Die Deutsche Bundesbank veröffentlicht im Internet die für die elektronische Dateneinreichung zu verwendenden Satzformate und den Einreichungsweg. Sie leitet die Meldung an die Bundesanstalt weiter.</w:t>
      </w:r>
    </w:p>
    <w:p>
      <w:r>
        <w:t xml:space="preserve">(3) Wohnungsunternehmen mit Spareinrichtung haben die zuletzt abgegebene Meldung nach Absatz 1 sowie die Meldungen nach Absatz 1 für die zwei vorangegangenen Kalenderjahre aufzubewahren. Wohnungsunternehmen mit Spareinrichtung müssen die Marktpreisdaten für die Angaben der Meldung nach Absatz 1 für den letzten Meldestichtag, die Meldestichtage der vergangenen 24 Monate sowie für den laufenden Meldezeitraum vorhalten und der Bundesanstalt oder der Deutschen Bundesbank auf Verlangen zur Verfügung stellen. Sofern die Gesamtkennziffer nach § 2 Absatz 4 Satz 2 den Wert von 8,4 Prozent unterschreitet, haben die Wohnungsunternehmen mit Spareinrichtung die jeweiligen Marktdaten sowie die Berechnungen nach dieser Verordnung zusätzlich für die letzten 30 Handelstage vorzuhalten. Sowohl die Bundesanstalt als auch die Deutsche Bundesbank können verlangen, dass die Angaben nach den Sätzen 2 und 3 spätestens nach 15 Geschäftstagen eingereicht werden.</w:t>
      </w:r>
    </w:p>
    <w:p>
      <w:r>
        <w:rPr>
          <w:color w:val="555555"/>
          <w:sz w:val="17"/>
        </w:rPr>
        <w:t xml:space="preserve">Zitiervorschlag: § 5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