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WuSolvV — Verbriefungstransaktion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Eine Verbriefungstransaktion liegt vor, wenn</w:t>
      </w:r>
    </w:p>
    <w:p>
      <w:pPr>
        <w:ind w:left="420"/>
      </w:pPr>
      <w:r>
        <w:t xml:space="preserve">1. das Adressenausfallrisiko aus einem verbrieften Portfolio anfänglich in wenigstens zwei Verbriefungstranchen aufgeteilt wird,</w:t>
      </w:r>
    </w:p>
    <w:p>
      <w:pPr>
        <w:ind w:left="420"/>
      </w:pPr>
      <w:r>
        <w:t xml:space="preserve">2. Zahlungsansprüche oder Zahlungsverpflichtungen der Halter von Risikopositionen in den Verbriefungstranchen vertraglich von der Realisierung des Adressenausfallrisikos ausschließlich des verbrieften Portfolios abhängen,</w:t>
      </w:r>
    </w:p>
    <w:p>
      <w:pPr>
        <w:ind w:left="420"/>
      </w:pPr>
      <w:r>
        <w:t xml:space="preserve">3. die Verbriefungstranchen in einem Subordinationsverhältnis stehen und diese Rangfolge die Reihenfolge und die Höhe bestimmt, in der Zahlungen oder Verluste bei einer Realisierung des Adressenausfallrisikos des verbrieften Portfolios den Haltern von Positionen in den Verbriefungstranchen zugewiesen werden (Wasserfall-Prinzip), und</w:t>
      </w:r>
    </w:p>
    <w:p>
      <w:pPr>
        <w:ind w:left="420"/>
      </w:pPr>
      <w:r>
        <w:t xml:space="preserve">4. eine Leistungsstörung nicht bereits dann als eingetreten gilt, wenn für eine im Rang nachgehende Verbriefungstranche derselben Transaktion aufgrund der vertraglich festgelegten Zuweisung von Verlusten oder Nichtzuweisung von Zahlungen ein wirtschaftliches Kreditereignis eingetreten ist.</w:t>
      </w:r>
    </w:p>
    <w:p>
      <w:r>
        <w:t xml:space="preserve">Als Verbriefungstransaktion gilt auch ein Verbriefungsprogramm, das die in Satz 1 genannten Voraussetzungen erfüllt.</w:t>
      </w:r>
    </w:p>
    <w:p>
      <w:r>
        <w:t xml:space="preserve">(2) Eine Verbriefungstransaktion mit Forderungsübertragung ist durch die rechtliche Übertragung eines verbrieften Portfolios von einem Originator bestimmt.</w:t>
      </w:r>
    </w:p>
    <w:p>
      <w:r>
        <w:t xml:space="preserve">(3) Eine Verbriefungstransaktion ohne Forderungsübertragung ist durch die Übertragung des Adressenausfallrisikos aus einem verbrieften Portfolio durch den Einsatz von Garantien, Kreditderivaten oder berücksichtigungsfähigen finanziellen Sicherheiten von einem Originator bestimmt, ohne dadurch das verbriefte Portfolio rechtlich zu übertragen.</w:t>
      </w:r>
    </w:p>
    <w:p>
      <w:r>
        <w:rPr>
          <w:color w:val="555555"/>
          <w:sz w:val="17"/>
        </w:rPr>
        <w:t xml:space="preserve">Zitiervorschlag: § 46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