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WuSolvV — KSA-Konversionsfaktor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KSA-Konversionsfaktor beträgt 100 Prozent, soweit in den Absätzen 2 und 3 nichts anderes geregelt ist.</w:t>
      </w:r>
    </w:p>
    <w:p>
      <w:r>
        <w:t xml:space="preserve">(2) Der KSA-Konversionsfaktor beträgt für</w:t>
      </w:r>
    </w:p>
    <w:p>
      <w:pPr>
        <w:ind w:left="420"/>
      </w:pPr>
      <w:r>
        <w:t xml:space="preserve">1. Dokumentenakkreditive,</w:t>
      </w:r>
    </w:p>
    <w:p>
      <w:pPr>
        <w:ind w:left="780"/>
      </w:pPr>
      <w:r>
        <w:t xml:space="preserve">a) die durch Warenpapiere besichert sind, 20 Prozent,</w:t>
      </w:r>
    </w:p>
    <w:p>
      <w:pPr>
        <w:ind w:left="780"/>
      </w:pPr>
      <w:r>
        <w:t xml:space="preserve">b) sonst 50 Prozent,</w:t>
      </w:r>
    </w:p>
    <w:p>
      <w:pPr>
        <w:ind w:left="420"/>
      </w:pPr>
      <w:r>
        <w:t xml:space="preserve">2. Geschäfte im Sinne von § 19 Absatz 1 Satz 3 Nummer 4 des Kreditwesengesetzes 50 Prozent,</w:t>
      </w:r>
    </w:p>
    <w:p>
      <w:pPr>
        <w:ind w:left="420"/>
      </w:pPr>
      <w:r>
        <w:t xml:space="preserve">3. unwiderrufliche Kreditsicherungsgarantien</w:t>
      </w:r>
    </w:p>
    <w:p>
      <w:pPr>
        <w:ind w:left="780"/>
      </w:pPr>
      <w:r>
        <w:t xml:space="preserve">a) 100 Prozent, wenn sie den Charakter eines Kreditsubstituts haben,</w:t>
      </w:r>
    </w:p>
    <w:p>
      <w:pPr>
        <w:ind w:left="780"/>
      </w:pPr>
      <w:r>
        <w:t xml:space="preserve">b) sonst 50 Prozent,</w:t>
      </w:r>
    </w:p>
    <w:p>
      <w:pPr>
        <w:ind w:left="420"/>
      </w:pPr>
      <w:r>
        <w:t xml:space="preserve">4. Verpflichtungen aus einer Note Issuance Facility oder einer Revolving Underwriting Facility 50 Prozent.</w:t>
      </w:r>
    </w:p>
    <w:p>
      <w:r>
        <w:t xml:space="preserve">(3) Wenn eine außerbilanzielle Adressenausfallrisikoposition in einer noch nicht in Anspruch genommenen Verpflichtung besteht, eine weitere Adressenausfallrisikoposition zu begründen, ist der niedrigere der beiden KSA-Konversionsfaktoren anzuwenden.</w:t>
      </w:r>
    </w:p>
    <w:p>
      <w:r>
        <w:rPr>
          <w:color w:val="555555"/>
          <w:sz w:val="17"/>
        </w:rPr>
        <w:t xml:space="preserve">Zitiervorschlag: § 44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