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WuSolvV — Für den Wiedereindeckungsaufwand maßgebliche Laufzeit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für den Wiedereindeckungsaufwand maßgebliche Laufzeit eines Geschäfts ist für jedes Geschäft, das eine derivative Adressenausfallrisikoposition begründet,</w:t>
      </w:r>
    </w:p>
    <w:p>
      <w:pPr>
        <w:ind w:left="420"/>
      </w:pPr>
      <w:r>
        <w:t xml:space="preserve">1. die Laufzeit des Geschäftsgegenstands bei Derivaten über Geschäftsgegenstände, die eine bestimmte Laufzeit aufweisen,</w:t>
      </w:r>
    </w:p>
    <w:p>
      <w:pPr>
        <w:ind w:left="420"/>
      </w:pPr>
      <w:r>
        <w:t xml:space="preserve">2. bei Derivaten auf variabel verzinsliche Wertpapiere und bei währungsgleichen Zinsswaps ohne Festzinsteil, die bis zum nächstfolgenden Zinsanpassungstermin verbleibende Zeitspanne,</w:t>
      </w:r>
    </w:p>
    <w:p>
      <w:pPr>
        <w:ind w:left="420"/>
      </w:pPr>
      <w:r>
        <w:t xml:space="preserve">3. sonst die Laufzeit des Derivats.</w:t>
      </w:r>
    </w:p>
    <w:p>
      <w:r>
        <w:rPr>
          <w:color w:val="555555"/>
          <w:sz w:val="17"/>
        </w:rPr>
        <w:t xml:space="preserve">Zitiervorschlag: § 42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