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WuSolvV — Auf fremde Währung lautende Positionen</w:t>
      </w:r>
    </w:p>
    <w:p>
      <w:r>
        <w:rPr>
          <w:color w:val="555555"/>
          <w:sz w:val="18"/>
        </w:rPr>
        <w:t xml:space="preserve">Wohnungsunternehmen-Solvabilitätsverordnung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auf eine fremde Währung lautende Position ist zu dem von der Europäischen Zentralbank am Meldestichtag festgestellten und von der Deutschen Bundesbank veröffentlichten Referenzkurs (Euro-Referenzkurs) in Euro umzurechnen. Statt des Euro-Referenzkurses am Meldestichtag darf für Beteiligungen, einschließlich der Anteile an verbundenen Unternehmen, die nach § 3 Absatz 6 Satz 1 und 2 nicht als Bestandteil seiner Währungsgesamtposition behandelt werden, der zum Zeitpunkt ihrer Erstverbuchung maßgebliche Devisenkurs angewendet werden. Bei der Umrechnung von Währungen, für die kein Euro-Referenzkurs veröffentlicht wird, sind die Mittelkurse aus feststellbaren An- und Verkaufskursen des Stichtages zugrunde zu legen.</w:t>
      </w:r>
    </w:p>
    <w:p>
      <w:r>
        <w:rPr>
          <w:color w:val="555555"/>
          <w:sz w:val="17"/>
        </w:rPr>
        <w:t xml:space="preserve">Zitiervorschlag: § 4 WuSolvV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https://recht.nulegal.eu/gesetze/WuSolvV/4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