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WuSolvV — Marktbewerteter Wiedereindeckungsaufwand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marktbewertete Wiedereindeckungsaufwand ist</w:t>
      </w:r>
    </w:p>
    <w:p>
      <w:pPr>
        <w:ind w:left="420"/>
      </w:pPr>
      <w:r>
        <w:t xml:space="preserve">1. der gegenwärtige potenzielle Wiedereindeckungsaufwand nach § 39 zuzüglich</w:t>
      </w:r>
    </w:p>
    <w:p>
      <w:pPr>
        <w:ind w:left="420"/>
      </w:pPr>
      <w:r>
        <w:t xml:space="preserve">2. der künftig zu erwartenden Erhöhung des gegenwärtigen potenziellen Wiedereindeckungsaufwands nach § 40, wenn es sich nicht um einen währungsgleichen Zinsswap ohne Festzinsteil handelt.</w:t>
      </w:r>
    </w:p>
    <w:p>
      <w:r>
        <w:rPr>
          <w:color w:val="555555"/>
          <w:sz w:val="17"/>
        </w:rPr>
        <w:t xml:space="preserve">Zitiervorschlag: § 38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