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WuSolvV — Verwendungsfähige Länderklassifizierungen von Exportversicherungsagenturen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eine KSA-Position der bonitätsbeurteilungsbezogenen Forderungskategorie Staaten nach Tabelle 6 der Anlage 1 ist eine verwendungsfähige Länderklassifizierung einer Exportversicherungsagentur jede</w:t>
      </w:r>
    </w:p>
    <w:p>
      <w:pPr>
        <w:ind w:left="420"/>
      </w:pPr>
      <w:r>
        <w:t xml:space="preserve">1. als Mindest-Exportversicherungsprämie ausgedrückte Konsensländerklassifizierung der Exportversicherungsagenturen, die an der OECD-Vereinbarung teilnehmen, oder</w:t>
      </w:r>
    </w:p>
    <w:p>
      <w:pPr>
        <w:ind w:left="420"/>
      </w:pPr>
      <w:r>
        <w:t xml:space="preserve">2. Länderklassifizierung einer Exportversicherungsagentur, die die in der OECD-Vereinbarung niedergelegte Methodik zur Länderklassifizierung anwendet, ihre Länderklassifizierungen veröffentlicht und den Mindest-Exportversicherungsprämien nach dieser Methodik zuordnet.</w:t>
      </w:r>
    </w:p>
    <w:p>
      <w:r>
        <w:rPr>
          <w:color w:val="555555"/>
          <w:sz w:val="17"/>
        </w:rPr>
        <w:t xml:space="preserve">Zitiervorschlag: § 34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