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31 WuSolvV — Verwendung von Länderklassifizierungen</w:t>
      </w:r>
    </w:p>
    <w:p>
      <w:r>
        <w:rPr>
          <w:color w:val="555555"/>
          <w:sz w:val="18"/>
        </w:rPr>
        <w:t xml:space="preserve">Wohnungsunternehmen-Solvabilitätsverordnung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Ein Wohnungsunternehmen mit Spareinrichtung, das eine Exportversicherungsagentur benannt hat, muss deren Länderklassifizierungen dauerhaft und einheitlich für sämtliche KSA-Positionen dieser Kategorie, für die eine Länderklassifizierung einer vom Wohnungsunternehmen mit Spareinrichtung benannten Exportversicherungsagentur vorhanden ist, anwenden.</w:t>
      </w:r>
    </w:p>
    <w:p>
      <w:r>
        <w:rPr>
          <w:color w:val="555555"/>
          <w:sz w:val="17"/>
        </w:rPr>
        <w:t xml:space="preserve">Zitiervorschlag: § 31 WuSolvV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https://recht.nulegal.eu/gesetze/WuSolvV/31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